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F6DC" w14:textId="6A5495C2" w:rsidR="009B4D21" w:rsidRPr="000A7654" w:rsidRDefault="009B4D21">
      <w:pPr>
        <w:rPr>
          <w:rFonts w:ascii="Arial" w:hAnsi="Arial" w:cs="Arial"/>
          <w:b/>
          <w:bCs/>
          <w:sz w:val="20"/>
          <w:szCs w:val="20"/>
        </w:rPr>
      </w:pPr>
      <w:r w:rsidRPr="000A7654">
        <w:rPr>
          <w:rFonts w:ascii="Arial" w:hAnsi="Arial" w:cs="Arial"/>
          <w:b/>
          <w:bCs/>
          <w:sz w:val="20"/>
          <w:szCs w:val="20"/>
        </w:rPr>
        <w:t xml:space="preserve">CLIMATE CASE SUMMARIES – </w:t>
      </w:r>
      <w:r w:rsidRPr="000A7654">
        <w:rPr>
          <w:rFonts w:ascii="Arial" w:hAnsi="Arial" w:cs="Arial"/>
          <w:b/>
          <w:bCs/>
          <w:i/>
          <w:iCs/>
          <w:sz w:val="20"/>
          <w:szCs w:val="20"/>
        </w:rPr>
        <w:t>Smith v Fonterra</w:t>
      </w:r>
      <w:r w:rsidR="0048018B" w:rsidRPr="000A7654">
        <w:rPr>
          <w:rFonts w:ascii="Arial" w:hAnsi="Arial" w:cs="Arial"/>
          <w:b/>
          <w:bCs/>
          <w:sz w:val="20"/>
          <w:szCs w:val="20"/>
        </w:rPr>
        <w:t xml:space="preserve"> [2024] NZSC 5</w:t>
      </w:r>
    </w:p>
    <w:p w14:paraId="4884891B" w14:textId="2A42DD3B" w:rsidR="00C64B3B" w:rsidRPr="000A7654" w:rsidRDefault="00C64B3B">
      <w:pPr>
        <w:rPr>
          <w:rFonts w:ascii="Arial" w:hAnsi="Arial" w:cs="Arial"/>
          <w:b/>
          <w:bCs/>
          <w:sz w:val="20"/>
          <w:szCs w:val="20"/>
        </w:rPr>
      </w:pPr>
      <w:r w:rsidRPr="000A7654">
        <w:rPr>
          <w:rFonts w:ascii="Arial" w:hAnsi="Arial" w:cs="Arial"/>
          <w:b/>
          <w:bCs/>
          <w:sz w:val="20"/>
          <w:szCs w:val="20"/>
        </w:rPr>
        <w:t xml:space="preserve">Landmark New Zealand decision on </w:t>
      </w:r>
      <w:r w:rsidR="00DA3C29">
        <w:rPr>
          <w:rFonts w:ascii="Arial" w:hAnsi="Arial" w:cs="Arial"/>
          <w:b/>
          <w:bCs/>
          <w:sz w:val="20"/>
          <w:szCs w:val="20"/>
        </w:rPr>
        <w:t xml:space="preserve">tort </w:t>
      </w:r>
      <w:r w:rsidR="00743E75" w:rsidRPr="000A7654">
        <w:rPr>
          <w:rFonts w:ascii="Arial" w:hAnsi="Arial" w:cs="Arial"/>
          <w:b/>
          <w:bCs/>
          <w:sz w:val="20"/>
          <w:szCs w:val="20"/>
        </w:rPr>
        <w:t>liability for greenhouse gas emissions</w:t>
      </w:r>
    </w:p>
    <w:p w14:paraId="31922B48" w14:textId="7237249D" w:rsidR="002A5469" w:rsidRPr="000A7654" w:rsidRDefault="0074733A">
      <w:pPr>
        <w:rPr>
          <w:rFonts w:ascii="Arial" w:hAnsi="Arial" w:cs="Arial"/>
          <w:b/>
          <w:bCs/>
          <w:sz w:val="20"/>
          <w:szCs w:val="20"/>
        </w:rPr>
      </w:pPr>
      <w:r w:rsidRPr="000A7654">
        <w:rPr>
          <w:rFonts w:ascii="Arial" w:hAnsi="Arial" w:cs="Arial"/>
          <w:b/>
          <w:bCs/>
          <w:sz w:val="20"/>
          <w:szCs w:val="20"/>
        </w:rPr>
        <w:t xml:space="preserve">Summary </w:t>
      </w:r>
    </w:p>
    <w:p w14:paraId="67D036AF" w14:textId="19975EC6" w:rsidR="009E6808" w:rsidRPr="000A7654" w:rsidRDefault="009E6808" w:rsidP="00DB29A3">
      <w:pPr>
        <w:jc w:val="both"/>
        <w:rPr>
          <w:rFonts w:ascii="Arial" w:hAnsi="Arial" w:cs="Arial"/>
          <w:sz w:val="20"/>
          <w:szCs w:val="20"/>
        </w:rPr>
      </w:pPr>
      <w:r w:rsidRPr="000A7654">
        <w:rPr>
          <w:rFonts w:ascii="Arial" w:hAnsi="Arial" w:cs="Arial"/>
          <w:sz w:val="20"/>
          <w:szCs w:val="20"/>
        </w:rPr>
        <w:t>The New Zealand Supreme Court has delivered a landmark decision on a case brought by Māori elder</w:t>
      </w:r>
      <w:r w:rsidR="004757C2" w:rsidRPr="000A7654">
        <w:rPr>
          <w:rFonts w:ascii="Arial" w:hAnsi="Arial" w:cs="Arial"/>
          <w:sz w:val="20"/>
          <w:szCs w:val="20"/>
        </w:rPr>
        <w:t>,</w:t>
      </w:r>
      <w:r w:rsidRPr="000A7654">
        <w:rPr>
          <w:rFonts w:ascii="Arial" w:hAnsi="Arial" w:cs="Arial"/>
          <w:sz w:val="20"/>
          <w:szCs w:val="20"/>
        </w:rPr>
        <w:t xml:space="preserve"> </w:t>
      </w:r>
      <w:r w:rsidR="00D10F5A" w:rsidRPr="000A7654">
        <w:rPr>
          <w:rFonts w:ascii="Arial" w:hAnsi="Arial" w:cs="Arial"/>
          <w:sz w:val="20"/>
          <w:szCs w:val="20"/>
        </w:rPr>
        <w:t>Mike</w:t>
      </w:r>
      <w:r w:rsidRPr="000A7654">
        <w:rPr>
          <w:rFonts w:ascii="Arial" w:hAnsi="Arial" w:cs="Arial"/>
          <w:sz w:val="20"/>
          <w:szCs w:val="20"/>
        </w:rPr>
        <w:t xml:space="preserve"> Smith</w:t>
      </w:r>
      <w:r w:rsidR="004757C2" w:rsidRPr="000A7654">
        <w:rPr>
          <w:rFonts w:ascii="Arial" w:hAnsi="Arial" w:cs="Arial"/>
          <w:sz w:val="20"/>
          <w:szCs w:val="20"/>
        </w:rPr>
        <w:t>,</w:t>
      </w:r>
      <w:r w:rsidRPr="000A7654">
        <w:rPr>
          <w:rFonts w:ascii="Arial" w:hAnsi="Arial" w:cs="Arial"/>
          <w:sz w:val="20"/>
          <w:szCs w:val="20"/>
        </w:rPr>
        <w:t xml:space="preserve"> against seven of New Zealand's largest greenhouse gas emitters.</w:t>
      </w:r>
    </w:p>
    <w:p w14:paraId="1CD0F3F1" w14:textId="4EBB3BCC" w:rsidR="00300053" w:rsidRPr="000A7654" w:rsidRDefault="00300053" w:rsidP="00DB29A3">
      <w:pPr>
        <w:jc w:val="both"/>
        <w:rPr>
          <w:rFonts w:ascii="Arial" w:hAnsi="Arial" w:cs="Arial"/>
          <w:sz w:val="20"/>
          <w:szCs w:val="20"/>
        </w:rPr>
      </w:pPr>
      <w:r w:rsidRPr="000A7654">
        <w:rPr>
          <w:rFonts w:ascii="Arial" w:hAnsi="Arial" w:cs="Arial"/>
          <w:sz w:val="20"/>
          <w:szCs w:val="20"/>
        </w:rPr>
        <w:t xml:space="preserve">Prior to this decision, </w:t>
      </w:r>
      <w:r w:rsidR="00624223" w:rsidRPr="000A7654">
        <w:rPr>
          <w:rFonts w:ascii="Arial" w:hAnsi="Arial" w:cs="Arial"/>
          <w:sz w:val="20"/>
          <w:szCs w:val="20"/>
        </w:rPr>
        <w:t xml:space="preserve">the </w:t>
      </w:r>
      <w:r w:rsidRPr="000A7654">
        <w:rPr>
          <w:rFonts w:ascii="Arial" w:hAnsi="Arial" w:cs="Arial"/>
          <w:sz w:val="20"/>
          <w:szCs w:val="20"/>
        </w:rPr>
        <w:t>common law had</w:t>
      </w:r>
      <w:r w:rsidR="00624223" w:rsidRPr="000A7654">
        <w:rPr>
          <w:rFonts w:ascii="Arial" w:hAnsi="Arial" w:cs="Arial"/>
          <w:sz w:val="20"/>
          <w:szCs w:val="20"/>
        </w:rPr>
        <w:t xml:space="preserve"> </w:t>
      </w:r>
      <w:r w:rsidR="004D66C6" w:rsidRPr="000A7654">
        <w:rPr>
          <w:rFonts w:ascii="Arial" w:hAnsi="Arial" w:cs="Arial"/>
          <w:sz w:val="20"/>
          <w:szCs w:val="20"/>
        </w:rPr>
        <w:t>entrenched</w:t>
      </w:r>
      <w:r w:rsidR="00624223" w:rsidRPr="000A7654">
        <w:rPr>
          <w:rFonts w:ascii="Arial" w:hAnsi="Arial" w:cs="Arial"/>
          <w:sz w:val="20"/>
          <w:szCs w:val="20"/>
        </w:rPr>
        <w:t xml:space="preserve"> the prevailing </w:t>
      </w:r>
      <w:r w:rsidR="004D66C6" w:rsidRPr="000A7654">
        <w:rPr>
          <w:rFonts w:ascii="Arial" w:hAnsi="Arial" w:cs="Arial"/>
          <w:sz w:val="20"/>
          <w:szCs w:val="20"/>
        </w:rPr>
        <w:t>orthodoxy</w:t>
      </w:r>
      <w:r w:rsidR="00624223" w:rsidRPr="000A7654">
        <w:rPr>
          <w:rFonts w:ascii="Arial" w:hAnsi="Arial" w:cs="Arial"/>
          <w:sz w:val="20"/>
          <w:szCs w:val="20"/>
        </w:rPr>
        <w:t xml:space="preserve"> that tort claims </w:t>
      </w:r>
      <w:r w:rsidRPr="000A7654">
        <w:rPr>
          <w:rFonts w:ascii="Arial" w:hAnsi="Arial" w:cs="Arial"/>
          <w:sz w:val="20"/>
          <w:szCs w:val="20"/>
        </w:rPr>
        <w:t>could not</w:t>
      </w:r>
      <w:r w:rsidR="00624223" w:rsidRPr="000A7654">
        <w:rPr>
          <w:rFonts w:ascii="Arial" w:hAnsi="Arial" w:cs="Arial"/>
          <w:sz w:val="20"/>
          <w:szCs w:val="20"/>
        </w:rPr>
        <w:t xml:space="preserve"> be used to challenge or address climate change and that the regulation of greenhouse gas emi</w:t>
      </w:r>
      <w:r w:rsidRPr="000A7654">
        <w:rPr>
          <w:rFonts w:ascii="Arial" w:hAnsi="Arial" w:cs="Arial"/>
          <w:sz w:val="20"/>
          <w:szCs w:val="20"/>
        </w:rPr>
        <w:t>tters</w:t>
      </w:r>
      <w:r w:rsidR="00624223" w:rsidRPr="000A7654">
        <w:rPr>
          <w:rFonts w:ascii="Arial" w:hAnsi="Arial" w:cs="Arial"/>
          <w:sz w:val="20"/>
          <w:szCs w:val="20"/>
        </w:rPr>
        <w:t xml:space="preserve"> </w:t>
      </w:r>
      <w:r w:rsidRPr="000A7654">
        <w:rPr>
          <w:rFonts w:ascii="Arial" w:hAnsi="Arial" w:cs="Arial"/>
          <w:sz w:val="20"/>
          <w:szCs w:val="20"/>
        </w:rPr>
        <w:t>was</w:t>
      </w:r>
      <w:r w:rsidR="00624223" w:rsidRPr="000A7654">
        <w:rPr>
          <w:rFonts w:ascii="Arial" w:hAnsi="Arial" w:cs="Arial"/>
          <w:sz w:val="20"/>
          <w:szCs w:val="20"/>
        </w:rPr>
        <w:t xml:space="preserve"> best left to the other branches of government through </w:t>
      </w:r>
      <w:r w:rsidR="004D66C6" w:rsidRPr="000A7654">
        <w:rPr>
          <w:rFonts w:ascii="Arial" w:hAnsi="Arial" w:cs="Arial"/>
          <w:sz w:val="20"/>
          <w:szCs w:val="20"/>
        </w:rPr>
        <w:t xml:space="preserve">statutory </w:t>
      </w:r>
      <w:r w:rsidR="00624223" w:rsidRPr="000A7654">
        <w:rPr>
          <w:rFonts w:ascii="Arial" w:hAnsi="Arial" w:cs="Arial"/>
          <w:sz w:val="20"/>
          <w:szCs w:val="20"/>
        </w:rPr>
        <w:t xml:space="preserve">regulation.  </w:t>
      </w:r>
    </w:p>
    <w:p w14:paraId="4C1DFC14" w14:textId="527901CE" w:rsidR="00624223" w:rsidRPr="000A7654" w:rsidRDefault="00300053" w:rsidP="00DB29A3">
      <w:pPr>
        <w:jc w:val="both"/>
        <w:rPr>
          <w:rFonts w:ascii="Arial" w:hAnsi="Arial" w:cs="Arial"/>
          <w:sz w:val="20"/>
          <w:szCs w:val="20"/>
        </w:rPr>
      </w:pPr>
      <w:r w:rsidRPr="000A7654">
        <w:rPr>
          <w:rFonts w:ascii="Arial" w:hAnsi="Arial" w:cs="Arial"/>
          <w:sz w:val="20"/>
          <w:szCs w:val="20"/>
        </w:rPr>
        <w:t xml:space="preserve">This case is significant as it marks one of the </w:t>
      </w:r>
      <w:r w:rsidR="009521B3" w:rsidRPr="000A7654">
        <w:rPr>
          <w:rFonts w:ascii="Arial" w:hAnsi="Arial" w:cs="Arial"/>
          <w:sz w:val="20"/>
          <w:szCs w:val="20"/>
        </w:rPr>
        <w:t>first decisions where</w:t>
      </w:r>
      <w:r w:rsidRPr="000A7654">
        <w:rPr>
          <w:rFonts w:ascii="Arial" w:hAnsi="Arial" w:cs="Arial"/>
          <w:sz w:val="20"/>
          <w:szCs w:val="20"/>
        </w:rPr>
        <w:t xml:space="preserve"> a court has </w:t>
      </w:r>
      <w:proofErr w:type="spellStart"/>
      <w:r w:rsidRPr="000A7654">
        <w:rPr>
          <w:rFonts w:ascii="Arial" w:hAnsi="Arial" w:cs="Arial"/>
          <w:sz w:val="20"/>
          <w:szCs w:val="20"/>
        </w:rPr>
        <w:t>recognised</w:t>
      </w:r>
      <w:proofErr w:type="spellEnd"/>
      <w:r w:rsidRPr="000A7654">
        <w:rPr>
          <w:rFonts w:ascii="Arial" w:hAnsi="Arial" w:cs="Arial"/>
          <w:sz w:val="20"/>
          <w:szCs w:val="20"/>
        </w:rPr>
        <w:t xml:space="preserve"> that tort law can be used to challenge the greenhouse gas emissions of a private entity. </w:t>
      </w:r>
    </w:p>
    <w:p w14:paraId="077CC59C" w14:textId="21ECF111" w:rsidR="0074733A" w:rsidRPr="000A7654" w:rsidRDefault="0074733A" w:rsidP="00880DDE">
      <w:pPr>
        <w:rPr>
          <w:rFonts w:ascii="Arial" w:hAnsi="Arial" w:cs="Arial"/>
          <w:b/>
          <w:bCs/>
          <w:sz w:val="20"/>
          <w:szCs w:val="20"/>
        </w:rPr>
      </w:pPr>
      <w:r w:rsidRPr="000A7654">
        <w:rPr>
          <w:rFonts w:ascii="Arial" w:hAnsi="Arial" w:cs="Arial"/>
          <w:b/>
          <w:bCs/>
          <w:sz w:val="20"/>
          <w:szCs w:val="20"/>
        </w:rPr>
        <w:t xml:space="preserve">Facts </w:t>
      </w:r>
    </w:p>
    <w:p w14:paraId="18D6AE0B" w14:textId="31B3F017" w:rsidR="00A87EEE" w:rsidRPr="000A7654" w:rsidRDefault="00B97979" w:rsidP="00E96709">
      <w:pPr>
        <w:jc w:val="both"/>
        <w:rPr>
          <w:rFonts w:ascii="Arial" w:hAnsi="Arial" w:cs="Arial"/>
          <w:sz w:val="20"/>
          <w:szCs w:val="20"/>
        </w:rPr>
      </w:pPr>
      <w:proofErr w:type="spellStart"/>
      <w:r w:rsidRPr="000A7654">
        <w:rPr>
          <w:rFonts w:ascii="Arial" w:hAnsi="Arial" w:cs="Arial"/>
          <w:sz w:val="20"/>
          <w:szCs w:val="20"/>
        </w:rPr>
        <w:t>Mr</w:t>
      </w:r>
      <w:proofErr w:type="spellEnd"/>
      <w:r w:rsidRPr="000A7654">
        <w:rPr>
          <w:rFonts w:ascii="Arial" w:hAnsi="Arial" w:cs="Arial"/>
          <w:sz w:val="20"/>
          <w:szCs w:val="20"/>
        </w:rPr>
        <w:t xml:space="preserve"> Smith</w:t>
      </w:r>
      <w:r w:rsidR="00B03ADA" w:rsidRPr="000A7654">
        <w:rPr>
          <w:rFonts w:ascii="Arial" w:hAnsi="Arial" w:cs="Arial"/>
          <w:sz w:val="20"/>
          <w:szCs w:val="20"/>
        </w:rPr>
        <w:t xml:space="preserve"> is</w:t>
      </w:r>
      <w:r w:rsidRPr="000A7654">
        <w:rPr>
          <w:rFonts w:ascii="Arial" w:hAnsi="Arial" w:cs="Arial"/>
          <w:sz w:val="20"/>
          <w:szCs w:val="20"/>
        </w:rPr>
        <w:t xml:space="preserve"> </w:t>
      </w:r>
      <w:r w:rsidR="00A87EEE" w:rsidRPr="000A7654">
        <w:rPr>
          <w:rFonts w:ascii="Arial" w:hAnsi="Arial" w:cs="Arial"/>
          <w:sz w:val="20"/>
          <w:szCs w:val="20"/>
        </w:rPr>
        <w:t>an</w:t>
      </w:r>
      <w:r w:rsidRPr="000A7654">
        <w:rPr>
          <w:rFonts w:ascii="Arial" w:hAnsi="Arial" w:cs="Arial"/>
          <w:sz w:val="20"/>
          <w:szCs w:val="20"/>
        </w:rPr>
        <w:t xml:space="preserve"> elder of the Ng</w:t>
      </w:r>
      <w:r w:rsidR="00B03ADA" w:rsidRPr="000A7654">
        <w:rPr>
          <w:rFonts w:ascii="Arial" w:hAnsi="Arial" w:cs="Arial"/>
          <w:color w:val="333333"/>
          <w:sz w:val="20"/>
          <w:szCs w:val="20"/>
        </w:rPr>
        <w:t>ā</w:t>
      </w:r>
      <w:r w:rsidRPr="000A7654">
        <w:rPr>
          <w:rFonts w:ascii="Arial" w:hAnsi="Arial" w:cs="Arial"/>
          <w:sz w:val="20"/>
          <w:szCs w:val="20"/>
        </w:rPr>
        <w:t>puhi and Ng</w:t>
      </w:r>
      <w:r w:rsidR="00B03ADA" w:rsidRPr="000A7654">
        <w:rPr>
          <w:rFonts w:ascii="Arial" w:hAnsi="Arial" w:cs="Arial"/>
          <w:color w:val="333333"/>
          <w:sz w:val="20"/>
          <w:szCs w:val="20"/>
        </w:rPr>
        <w:t>ā</w:t>
      </w:r>
      <w:r w:rsidRPr="000A7654">
        <w:rPr>
          <w:rFonts w:ascii="Arial" w:hAnsi="Arial" w:cs="Arial"/>
          <w:sz w:val="20"/>
          <w:szCs w:val="20"/>
        </w:rPr>
        <w:t xml:space="preserve">ti Kahu people. In 2019, </w:t>
      </w:r>
      <w:proofErr w:type="spellStart"/>
      <w:r w:rsidRPr="000A7654">
        <w:rPr>
          <w:rFonts w:ascii="Arial" w:hAnsi="Arial" w:cs="Arial"/>
          <w:sz w:val="20"/>
          <w:szCs w:val="20"/>
        </w:rPr>
        <w:t>Mr</w:t>
      </w:r>
      <w:proofErr w:type="spellEnd"/>
      <w:r w:rsidRPr="000A7654">
        <w:rPr>
          <w:rFonts w:ascii="Arial" w:hAnsi="Arial" w:cs="Arial"/>
          <w:sz w:val="20"/>
          <w:szCs w:val="20"/>
        </w:rPr>
        <w:t xml:space="preserve"> Smith</w:t>
      </w:r>
      <w:r w:rsidR="00A74206" w:rsidRPr="000A7654">
        <w:rPr>
          <w:rFonts w:ascii="Arial" w:hAnsi="Arial" w:cs="Arial"/>
          <w:sz w:val="20"/>
          <w:szCs w:val="20"/>
        </w:rPr>
        <w:t>,</w:t>
      </w:r>
      <w:r w:rsidRPr="000A7654">
        <w:rPr>
          <w:rFonts w:ascii="Arial" w:hAnsi="Arial" w:cs="Arial"/>
          <w:sz w:val="20"/>
          <w:szCs w:val="20"/>
        </w:rPr>
        <w:t xml:space="preserve"> </w:t>
      </w:r>
      <w:r w:rsidR="00B03ADA" w:rsidRPr="000A7654">
        <w:rPr>
          <w:rFonts w:ascii="Arial" w:hAnsi="Arial" w:cs="Arial"/>
          <w:sz w:val="20"/>
          <w:szCs w:val="20"/>
        </w:rPr>
        <w:t>along with a climate change spokesperson for the Iwi Chairs Forum (a national forum for tribal leaders)</w:t>
      </w:r>
      <w:r w:rsidR="00A74206" w:rsidRPr="000A7654">
        <w:rPr>
          <w:rFonts w:ascii="Arial" w:hAnsi="Arial" w:cs="Arial"/>
          <w:sz w:val="20"/>
          <w:szCs w:val="20"/>
        </w:rPr>
        <w:t>,</w:t>
      </w:r>
      <w:r w:rsidR="00B03ADA" w:rsidRPr="000A7654">
        <w:rPr>
          <w:rFonts w:ascii="Arial" w:hAnsi="Arial" w:cs="Arial"/>
          <w:sz w:val="20"/>
          <w:szCs w:val="20"/>
        </w:rPr>
        <w:t xml:space="preserve"> </w:t>
      </w:r>
      <w:r w:rsidRPr="000A7654">
        <w:rPr>
          <w:rFonts w:ascii="Arial" w:hAnsi="Arial" w:cs="Arial"/>
          <w:sz w:val="20"/>
          <w:szCs w:val="20"/>
        </w:rPr>
        <w:t>filed a statement of claim in the High Court</w:t>
      </w:r>
      <w:r w:rsidR="00385577" w:rsidRPr="000A7654">
        <w:rPr>
          <w:rFonts w:ascii="Arial" w:hAnsi="Arial" w:cs="Arial"/>
          <w:sz w:val="20"/>
          <w:szCs w:val="20"/>
        </w:rPr>
        <w:t xml:space="preserve"> of New Zealand</w:t>
      </w:r>
      <w:r w:rsidRPr="000A7654">
        <w:rPr>
          <w:rFonts w:ascii="Arial" w:hAnsi="Arial" w:cs="Arial"/>
          <w:sz w:val="20"/>
          <w:szCs w:val="20"/>
        </w:rPr>
        <w:t>, against seven</w:t>
      </w:r>
      <w:r w:rsidR="00A87EEE" w:rsidRPr="000A7654">
        <w:rPr>
          <w:rFonts w:ascii="Arial" w:hAnsi="Arial" w:cs="Arial"/>
          <w:sz w:val="20"/>
          <w:szCs w:val="20"/>
        </w:rPr>
        <w:t xml:space="preserve"> New Zealand companies involved in an industry that emitted greenhouse gases (</w:t>
      </w:r>
      <w:r w:rsidR="00121BE2" w:rsidRPr="000A7654">
        <w:rPr>
          <w:rFonts w:ascii="Arial" w:hAnsi="Arial" w:cs="Arial"/>
          <w:sz w:val="20"/>
          <w:szCs w:val="20"/>
        </w:rPr>
        <w:t>‘</w:t>
      </w:r>
      <w:r w:rsidR="00A87EEE" w:rsidRPr="000A7654">
        <w:rPr>
          <w:rFonts w:ascii="Arial" w:hAnsi="Arial" w:cs="Arial"/>
          <w:b/>
          <w:bCs/>
          <w:sz w:val="20"/>
          <w:szCs w:val="20"/>
        </w:rPr>
        <w:t>GHGs</w:t>
      </w:r>
      <w:r w:rsidR="00121BE2" w:rsidRPr="000A7654">
        <w:rPr>
          <w:rFonts w:ascii="Arial" w:hAnsi="Arial" w:cs="Arial"/>
          <w:b/>
          <w:bCs/>
          <w:sz w:val="20"/>
          <w:szCs w:val="20"/>
        </w:rPr>
        <w:t>’</w:t>
      </w:r>
      <w:r w:rsidR="00A87EEE" w:rsidRPr="000A7654">
        <w:rPr>
          <w:rFonts w:ascii="Arial" w:hAnsi="Arial" w:cs="Arial"/>
          <w:sz w:val="20"/>
          <w:szCs w:val="20"/>
        </w:rPr>
        <w:t xml:space="preserve">) or </w:t>
      </w:r>
      <w:r w:rsidR="0051253E" w:rsidRPr="000A7654">
        <w:rPr>
          <w:rFonts w:ascii="Arial" w:hAnsi="Arial" w:cs="Arial"/>
          <w:sz w:val="20"/>
          <w:szCs w:val="20"/>
        </w:rPr>
        <w:t>supplied</w:t>
      </w:r>
      <w:r w:rsidR="00A87EEE" w:rsidRPr="000A7654">
        <w:rPr>
          <w:rFonts w:ascii="Arial" w:hAnsi="Arial" w:cs="Arial"/>
          <w:sz w:val="20"/>
          <w:szCs w:val="20"/>
        </w:rPr>
        <w:t xml:space="preserve"> products </w:t>
      </w:r>
      <w:r w:rsidR="0051253E" w:rsidRPr="000A7654">
        <w:rPr>
          <w:rFonts w:ascii="Arial" w:hAnsi="Arial" w:cs="Arial"/>
          <w:sz w:val="20"/>
          <w:szCs w:val="20"/>
        </w:rPr>
        <w:t>that</w:t>
      </w:r>
      <w:r w:rsidR="00A87EEE" w:rsidRPr="000A7654">
        <w:rPr>
          <w:rFonts w:ascii="Arial" w:hAnsi="Arial" w:cs="Arial"/>
          <w:sz w:val="20"/>
          <w:szCs w:val="20"/>
        </w:rPr>
        <w:t xml:space="preserve"> released GHGs when burned</w:t>
      </w:r>
      <w:r w:rsidR="00F10BBC" w:rsidRPr="000A7654">
        <w:rPr>
          <w:rFonts w:ascii="Arial" w:hAnsi="Arial" w:cs="Arial"/>
          <w:sz w:val="20"/>
          <w:szCs w:val="20"/>
        </w:rPr>
        <w:t xml:space="preserve"> (</w:t>
      </w:r>
      <w:r w:rsidR="00121BE2" w:rsidRPr="000A7654">
        <w:rPr>
          <w:rFonts w:ascii="Arial" w:hAnsi="Arial" w:cs="Arial"/>
          <w:sz w:val="20"/>
          <w:szCs w:val="20"/>
        </w:rPr>
        <w:t>‘</w:t>
      </w:r>
      <w:r w:rsidR="00F10BBC" w:rsidRPr="000A7654">
        <w:rPr>
          <w:rFonts w:ascii="Arial" w:hAnsi="Arial" w:cs="Arial"/>
          <w:b/>
          <w:bCs/>
          <w:sz w:val="20"/>
          <w:szCs w:val="20"/>
        </w:rPr>
        <w:t>the Respondents</w:t>
      </w:r>
      <w:r w:rsidR="00121BE2" w:rsidRPr="000A7654">
        <w:rPr>
          <w:rFonts w:ascii="Arial" w:hAnsi="Arial" w:cs="Arial"/>
          <w:b/>
          <w:bCs/>
          <w:sz w:val="20"/>
          <w:szCs w:val="20"/>
        </w:rPr>
        <w:t>’</w:t>
      </w:r>
      <w:r w:rsidR="00F10BBC" w:rsidRPr="000A7654">
        <w:rPr>
          <w:rFonts w:ascii="Arial" w:hAnsi="Arial" w:cs="Arial"/>
          <w:sz w:val="20"/>
          <w:szCs w:val="20"/>
        </w:rPr>
        <w:t>)</w:t>
      </w:r>
      <w:r w:rsidR="00A87EEE" w:rsidRPr="000A7654">
        <w:rPr>
          <w:rFonts w:ascii="Arial" w:hAnsi="Arial" w:cs="Arial"/>
          <w:sz w:val="20"/>
          <w:szCs w:val="20"/>
        </w:rPr>
        <w:t xml:space="preserve">. </w:t>
      </w:r>
    </w:p>
    <w:p w14:paraId="200788EB" w14:textId="1E366334" w:rsidR="00A87EEE" w:rsidRPr="000A7654" w:rsidRDefault="00A87EEE" w:rsidP="00E96709">
      <w:pPr>
        <w:jc w:val="both"/>
        <w:rPr>
          <w:rFonts w:ascii="Arial" w:hAnsi="Arial" w:cs="Arial"/>
          <w:sz w:val="20"/>
          <w:szCs w:val="20"/>
        </w:rPr>
      </w:pPr>
      <w:proofErr w:type="spellStart"/>
      <w:r w:rsidRPr="000A7654">
        <w:rPr>
          <w:rFonts w:ascii="Arial" w:hAnsi="Arial" w:cs="Arial"/>
          <w:sz w:val="20"/>
          <w:szCs w:val="20"/>
        </w:rPr>
        <w:t>Mr</w:t>
      </w:r>
      <w:proofErr w:type="spellEnd"/>
      <w:r w:rsidRPr="000A7654">
        <w:rPr>
          <w:rFonts w:ascii="Arial" w:hAnsi="Arial" w:cs="Arial"/>
          <w:sz w:val="20"/>
          <w:szCs w:val="20"/>
        </w:rPr>
        <w:t xml:space="preserve"> Smith </w:t>
      </w:r>
      <w:r w:rsidR="00883E57" w:rsidRPr="000A7654">
        <w:rPr>
          <w:rFonts w:ascii="Arial" w:hAnsi="Arial" w:cs="Arial"/>
          <w:sz w:val="20"/>
          <w:szCs w:val="20"/>
        </w:rPr>
        <w:t>claim</w:t>
      </w:r>
      <w:r w:rsidR="007A69CF" w:rsidRPr="000A7654">
        <w:rPr>
          <w:rFonts w:ascii="Arial" w:hAnsi="Arial" w:cs="Arial"/>
          <w:sz w:val="20"/>
          <w:szCs w:val="20"/>
        </w:rPr>
        <w:t>ed</w:t>
      </w:r>
      <w:r w:rsidR="00883E57" w:rsidRPr="000A7654">
        <w:rPr>
          <w:rFonts w:ascii="Arial" w:hAnsi="Arial" w:cs="Arial"/>
          <w:sz w:val="20"/>
          <w:szCs w:val="20"/>
        </w:rPr>
        <w:t xml:space="preserve"> a traditional connection to the coastal land </w:t>
      </w:r>
      <w:r w:rsidR="00791C98" w:rsidRPr="000A7654">
        <w:rPr>
          <w:rFonts w:ascii="Arial" w:hAnsi="Arial" w:cs="Arial"/>
          <w:sz w:val="20"/>
          <w:szCs w:val="20"/>
        </w:rPr>
        <w:t xml:space="preserve">and </w:t>
      </w:r>
      <w:r w:rsidR="0062063F" w:rsidRPr="000A7654">
        <w:rPr>
          <w:rFonts w:ascii="Arial" w:hAnsi="Arial" w:cs="Arial"/>
          <w:sz w:val="20"/>
          <w:szCs w:val="20"/>
        </w:rPr>
        <w:t xml:space="preserve">said </w:t>
      </w:r>
      <w:r w:rsidR="00791C98" w:rsidRPr="000A7654">
        <w:rPr>
          <w:rFonts w:ascii="Arial" w:hAnsi="Arial" w:cs="Arial"/>
          <w:sz w:val="20"/>
          <w:szCs w:val="20"/>
        </w:rPr>
        <w:t>that th</w:t>
      </w:r>
      <w:r w:rsidR="0062063F" w:rsidRPr="000A7654">
        <w:rPr>
          <w:rFonts w:ascii="Arial" w:hAnsi="Arial" w:cs="Arial"/>
          <w:sz w:val="20"/>
          <w:szCs w:val="20"/>
        </w:rPr>
        <w:t>e</w:t>
      </w:r>
      <w:r w:rsidR="00791C98" w:rsidRPr="000A7654">
        <w:rPr>
          <w:rFonts w:ascii="Arial" w:hAnsi="Arial" w:cs="Arial"/>
          <w:sz w:val="20"/>
          <w:szCs w:val="20"/>
        </w:rPr>
        <w:t xml:space="preserve"> land </w:t>
      </w:r>
      <w:r w:rsidR="00883E57" w:rsidRPr="000A7654">
        <w:rPr>
          <w:rFonts w:ascii="Arial" w:hAnsi="Arial" w:cs="Arial"/>
          <w:sz w:val="20"/>
          <w:szCs w:val="20"/>
        </w:rPr>
        <w:t>has been threatened by the</w:t>
      </w:r>
      <w:r w:rsidRPr="000A7654">
        <w:rPr>
          <w:rFonts w:ascii="Arial" w:hAnsi="Arial" w:cs="Arial"/>
          <w:sz w:val="20"/>
          <w:szCs w:val="20"/>
        </w:rPr>
        <w:t xml:space="preserve"> </w:t>
      </w:r>
      <w:r w:rsidR="00385577" w:rsidRPr="000A7654">
        <w:rPr>
          <w:rFonts w:ascii="Arial" w:hAnsi="Arial" w:cs="Arial"/>
          <w:sz w:val="20"/>
          <w:szCs w:val="20"/>
        </w:rPr>
        <w:t>R</w:t>
      </w:r>
      <w:r w:rsidRPr="000A7654">
        <w:rPr>
          <w:rFonts w:ascii="Arial" w:hAnsi="Arial" w:cs="Arial"/>
          <w:sz w:val="20"/>
          <w:szCs w:val="20"/>
        </w:rPr>
        <w:t>espondents</w:t>
      </w:r>
      <w:r w:rsidR="00883E57" w:rsidRPr="000A7654">
        <w:rPr>
          <w:rFonts w:ascii="Arial" w:hAnsi="Arial" w:cs="Arial"/>
          <w:sz w:val="20"/>
          <w:szCs w:val="20"/>
        </w:rPr>
        <w:t xml:space="preserve"> who have</w:t>
      </w:r>
      <w:r w:rsidRPr="000A7654">
        <w:rPr>
          <w:rFonts w:ascii="Arial" w:hAnsi="Arial" w:cs="Arial"/>
          <w:sz w:val="20"/>
          <w:szCs w:val="20"/>
        </w:rPr>
        <w:t xml:space="preserve"> contributed materially to the climate crisis and have damaged, and will continue to damage, places of customary, cultural, historical, </w:t>
      </w:r>
      <w:proofErr w:type="gramStart"/>
      <w:r w:rsidRPr="000A7654">
        <w:rPr>
          <w:rFonts w:ascii="Arial" w:hAnsi="Arial" w:cs="Arial"/>
          <w:sz w:val="20"/>
          <w:szCs w:val="20"/>
        </w:rPr>
        <w:t>nutritional</w:t>
      </w:r>
      <w:proofErr w:type="gramEnd"/>
      <w:r w:rsidRPr="000A7654">
        <w:rPr>
          <w:rFonts w:ascii="Arial" w:hAnsi="Arial" w:cs="Arial"/>
          <w:sz w:val="20"/>
          <w:szCs w:val="20"/>
        </w:rPr>
        <w:t xml:space="preserve"> and </w:t>
      </w:r>
      <w:r w:rsidR="00E808F2" w:rsidRPr="000A7654">
        <w:rPr>
          <w:rFonts w:ascii="Arial" w:hAnsi="Arial" w:cs="Arial"/>
          <w:sz w:val="20"/>
          <w:szCs w:val="20"/>
        </w:rPr>
        <w:t>spiritual</w:t>
      </w:r>
      <w:r w:rsidRPr="000A7654">
        <w:rPr>
          <w:rFonts w:ascii="Arial" w:hAnsi="Arial" w:cs="Arial"/>
          <w:sz w:val="20"/>
          <w:szCs w:val="20"/>
        </w:rPr>
        <w:t xml:space="preserve"> significance to him. </w:t>
      </w:r>
    </w:p>
    <w:p w14:paraId="70256D5F" w14:textId="3DB45327" w:rsidR="00A87EEE" w:rsidRPr="000A7654" w:rsidRDefault="004220BC" w:rsidP="00E96709">
      <w:pPr>
        <w:jc w:val="both"/>
        <w:rPr>
          <w:rFonts w:ascii="Arial" w:hAnsi="Arial" w:cs="Arial"/>
          <w:sz w:val="20"/>
          <w:szCs w:val="20"/>
        </w:rPr>
      </w:pPr>
      <w:r w:rsidRPr="000A7654">
        <w:rPr>
          <w:rFonts w:ascii="Arial" w:hAnsi="Arial" w:cs="Arial"/>
          <w:sz w:val="20"/>
          <w:szCs w:val="20"/>
        </w:rPr>
        <w:t>The claim</w:t>
      </w:r>
      <w:r w:rsidR="00A87EEE" w:rsidRPr="000A7654">
        <w:rPr>
          <w:rFonts w:ascii="Arial" w:hAnsi="Arial" w:cs="Arial"/>
          <w:sz w:val="20"/>
          <w:szCs w:val="20"/>
        </w:rPr>
        <w:t xml:space="preserve"> raised three causes of action in tort</w:t>
      </w:r>
      <w:r w:rsidR="0058736C" w:rsidRPr="000A7654">
        <w:rPr>
          <w:rFonts w:ascii="Arial" w:hAnsi="Arial" w:cs="Arial"/>
          <w:sz w:val="20"/>
          <w:szCs w:val="20"/>
        </w:rPr>
        <w:t>,</w:t>
      </w:r>
      <w:r w:rsidR="00A87EEE" w:rsidRPr="000A7654">
        <w:rPr>
          <w:rFonts w:ascii="Arial" w:hAnsi="Arial" w:cs="Arial"/>
          <w:sz w:val="20"/>
          <w:szCs w:val="20"/>
        </w:rPr>
        <w:t xml:space="preserve"> including public nuisance, negligence</w:t>
      </w:r>
      <w:r w:rsidR="0051253E" w:rsidRPr="000A7654">
        <w:rPr>
          <w:rFonts w:ascii="Arial" w:hAnsi="Arial" w:cs="Arial"/>
          <w:sz w:val="20"/>
          <w:szCs w:val="20"/>
        </w:rPr>
        <w:t>,</w:t>
      </w:r>
      <w:r w:rsidR="00A87EEE" w:rsidRPr="000A7654">
        <w:rPr>
          <w:rFonts w:ascii="Arial" w:hAnsi="Arial" w:cs="Arial"/>
          <w:sz w:val="20"/>
          <w:szCs w:val="20"/>
        </w:rPr>
        <w:t xml:space="preserve"> and a proposed new tort involving a duty, </w:t>
      </w:r>
      <w:proofErr w:type="spellStart"/>
      <w:r w:rsidR="00A87EEE" w:rsidRPr="000A7654">
        <w:rPr>
          <w:rFonts w:ascii="Arial" w:hAnsi="Arial" w:cs="Arial"/>
          <w:sz w:val="20"/>
          <w:szCs w:val="20"/>
        </w:rPr>
        <w:t>cogni</w:t>
      </w:r>
      <w:r w:rsidR="0051253E" w:rsidRPr="000A7654">
        <w:rPr>
          <w:rFonts w:ascii="Arial" w:hAnsi="Arial" w:cs="Arial"/>
          <w:sz w:val="20"/>
          <w:szCs w:val="20"/>
        </w:rPr>
        <w:t>s</w:t>
      </w:r>
      <w:r w:rsidR="00A87EEE" w:rsidRPr="000A7654">
        <w:rPr>
          <w:rFonts w:ascii="Arial" w:hAnsi="Arial" w:cs="Arial"/>
          <w:sz w:val="20"/>
          <w:szCs w:val="20"/>
        </w:rPr>
        <w:t>able</w:t>
      </w:r>
      <w:proofErr w:type="spellEnd"/>
      <w:r w:rsidR="00A87EEE" w:rsidRPr="000A7654">
        <w:rPr>
          <w:rFonts w:ascii="Arial" w:hAnsi="Arial" w:cs="Arial"/>
          <w:sz w:val="20"/>
          <w:szCs w:val="20"/>
        </w:rPr>
        <w:t xml:space="preserve"> at law, to cease materially contributing to</w:t>
      </w:r>
      <w:r w:rsidR="00B03ADA" w:rsidRPr="000A7654">
        <w:rPr>
          <w:rFonts w:ascii="Arial" w:hAnsi="Arial" w:cs="Arial"/>
          <w:sz w:val="20"/>
          <w:szCs w:val="20"/>
        </w:rPr>
        <w:t xml:space="preserve"> </w:t>
      </w:r>
      <w:r w:rsidR="00603EB1" w:rsidRPr="000A7654">
        <w:rPr>
          <w:rFonts w:ascii="Arial" w:hAnsi="Arial" w:cs="Arial"/>
          <w:sz w:val="20"/>
          <w:szCs w:val="20"/>
        </w:rPr>
        <w:t>climate change.</w:t>
      </w:r>
    </w:p>
    <w:p w14:paraId="25D426CA" w14:textId="34B8FA96" w:rsidR="002D6679" w:rsidRPr="000A7654" w:rsidRDefault="00603EB1" w:rsidP="00300053">
      <w:pPr>
        <w:jc w:val="both"/>
        <w:rPr>
          <w:rFonts w:ascii="Arial" w:hAnsi="Arial" w:cs="Arial"/>
          <w:sz w:val="20"/>
          <w:szCs w:val="20"/>
        </w:rPr>
      </w:pPr>
      <w:proofErr w:type="spellStart"/>
      <w:r w:rsidRPr="000A7654">
        <w:rPr>
          <w:rFonts w:ascii="Arial" w:hAnsi="Arial" w:cs="Arial"/>
          <w:sz w:val="20"/>
          <w:szCs w:val="20"/>
        </w:rPr>
        <w:t>Mr</w:t>
      </w:r>
      <w:proofErr w:type="spellEnd"/>
      <w:r w:rsidRPr="000A7654">
        <w:rPr>
          <w:rFonts w:ascii="Arial" w:hAnsi="Arial" w:cs="Arial"/>
          <w:sz w:val="20"/>
          <w:szCs w:val="20"/>
        </w:rPr>
        <w:t xml:space="preserve"> Smith sought a declaration that the </w:t>
      </w:r>
      <w:r w:rsidR="00385577" w:rsidRPr="000A7654">
        <w:rPr>
          <w:rFonts w:ascii="Arial" w:hAnsi="Arial" w:cs="Arial"/>
          <w:sz w:val="20"/>
          <w:szCs w:val="20"/>
        </w:rPr>
        <w:t>R</w:t>
      </w:r>
      <w:r w:rsidRPr="000A7654">
        <w:rPr>
          <w:rFonts w:ascii="Arial" w:hAnsi="Arial" w:cs="Arial"/>
          <w:sz w:val="20"/>
          <w:szCs w:val="20"/>
        </w:rPr>
        <w:t>espondents have</w:t>
      </w:r>
      <w:r w:rsidR="002D6679" w:rsidRPr="000A7654">
        <w:rPr>
          <w:rFonts w:ascii="Arial" w:hAnsi="Arial" w:cs="Arial"/>
          <w:sz w:val="20"/>
          <w:szCs w:val="20"/>
        </w:rPr>
        <w:t xml:space="preserve"> </w:t>
      </w:r>
      <w:r w:rsidRPr="000A7654">
        <w:rPr>
          <w:rFonts w:ascii="Arial" w:hAnsi="Arial" w:cs="Arial"/>
          <w:sz w:val="20"/>
          <w:szCs w:val="20"/>
        </w:rPr>
        <w:t xml:space="preserve">unlawfully breached a duty of care owed to him </w:t>
      </w:r>
      <w:r w:rsidR="00D55093">
        <w:rPr>
          <w:rFonts w:ascii="Arial" w:hAnsi="Arial" w:cs="Arial"/>
          <w:sz w:val="20"/>
          <w:szCs w:val="20"/>
        </w:rPr>
        <w:t>in addition to</w:t>
      </w:r>
      <w:r w:rsidR="00300053" w:rsidRPr="000A7654">
        <w:rPr>
          <w:rFonts w:ascii="Arial" w:hAnsi="Arial" w:cs="Arial"/>
          <w:sz w:val="20"/>
          <w:szCs w:val="20"/>
        </w:rPr>
        <w:t xml:space="preserve"> a</w:t>
      </w:r>
      <w:r w:rsidR="002D6679" w:rsidRPr="000A7654">
        <w:rPr>
          <w:rFonts w:ascii="Arial" w:hAnsi="Arial" w:cs="Arial"/>
          <w:sz w:val="20"/>
          <w:szCs w:val="20"/>
        </w:rPr>
        <w:t xml:space="preserve">n injunction </w:t>
      </w:r>
      <w:r w:rsidR="00D55093" w:rsidRPr="000A7654">
        <w:rPr>
          <w:rFonts w:ascii="Arial" w:hAnsi="Arial" w:cs="Arial"/>
          <w:sz w:val="20"/>
          <w:szCs w:val="20"/>
        </w:rPr>
        <w:t>requir</w:t>
      </w:r>
      <w:r w:rsidR="00D55093">
        <w:rPr>
          <w:rFonts w:ascii="Arial" w:hAnsi="Arial" w:cs="Arial"/>
          <w:sz w:val="20"/>
          <w:szCs w:val="20"/>
        </w:rPr>
        <w:t>ing the Respondents to</w:t>
      </w:r>
      <w:r w:rsidR="002D6679" w:rsidRPr="000A7654">
        <w:rPr>
          <w:rFonts w:ascii="Arial" w:hAnsi="Arial" w:cs="Arial"/>
          <w:sz w:val="20"/>
          <w:szCs w:val="20"/>
        </w:rPr>
        <w:t>:</w:t>
      </w:r>
    </w:p>
    <w:p w14:paraId="2967CE80" w14:textId="1FC32335" w:rsidR="002D6679" w:rsidRPr="000A7654" w:rsidRDefault="006C22AD" w:rsidP="00300053">
      <w:pPr>
        <w:pStyle w:val="ListParagraph"/>
        <w:numPr>
          <w:ilvl w:val="0"/>
          <w:numId w:val="2"/>
        </w:numPr>
        <w:spacing w:after="0"/>
        <w:jc w:val="both"/>
        <w:rPr>
          <w:rFonts w:ascii="Arial" w:hAnsi="Arial" w:cs="Arial"/>
          <w:sz w:val="20"/>
          <w:szCs w:val="20"/>
        </w:rPr>
      </w:pPr>
      <w:r w:rsidRPr="000A7654">
        <w:rPr>
          <w:rFonts w:ascii="Arial" w:hAnsi="Arial" w:cs="Arial"/>
          <w:sz w:val="20"/>
          <w:szCs w:val="20"/>
        </w:rPr>
        <w:t>reduce</w:t>
      </w:r>
      <w:r w:rsidR="00603EB1" w:rsidRPr="000A7654">
        <w:rPr>
          <w:rFonts w:ascii="Arial" w:hAnsi="Arial" w:cs="Arial"/>
          <w:sz w:val="20"/>
          <w:szCs w:val="20"/>
        </w:rPr>
        <w:t xml:space="preserve"> or cause peaking of their emissions by 2025, a particularized reduction in their emissions by the end of 2030 and 2040, and zero net emissions by 205</w:t>
      </w:r>
      <w:r w:rsidR="002D6679" w:rsidRPr="000A7654">
        <w:rPr>
          <w:rFonts w:ascii="Arial" w:hAnsi="Arial" w:cs="Arial"/>
          <w:sz w:val="20"/>
          <w:szCs w:val="20"/>
        </w:rPr>
        <w:t xml:space="preserve">0; or </w:t>
      </w:r>
      <w:proofErr w:type="gramStart"/>
      <w:r w:rsidR="002D6679" w:rsidRPr="000A7654">
        <w:rPr>
          <w:rFonts w:ascii="Arial" w:hAnsi="Arial" w:cs="Arial"/>
          <w:sz w:val="20"/>
          <w:szCs w:val="20"/>
        </w:rPr>
        <w:t>alternatively</w:t>
      </w:r>
      <w:proofErr w:type="gramEnd"/>
      <w:r w:rsidR="002D6679" w:rsidRPr="000A7654">
        <w:rPr>
          <w:rFonts w:ascii="Arial" w:hAnsi="Arial" w:cs="Arial"/>
          <w:sz w:val="20"/>
          <w:szCs w:val="20"/>
        </w:rPr>
        <w:t xml:space="preserve"> </w:t>
      </w:r>
    </w:p>
    <w:p w14:paraId="60273B8A" w14:textId="77777777" w:rsidR="00385577" w:rsidRPr="000A7654" w:rsidRDefault="00385577" w:rsidP="00300053">
      <w:pPr>
        <w:pStyle w:val="ListParagraph"/>
        <w:spacing w:after="0"/>
        <w:jc w:val="both"/>
        <w:rPr>
          <w:rFonts w:ascii="Arial" w:hAnsi="Arial" w:cs="Arial"/>
          <w:sz w:val="20"/>
          <w:szCs w:val="20"/>
        </w:rPr>
      </w:pPr>
    </w:p>
    <w:p w14:paraId="4B6A6418" w14:textId="0910F1F2" w:rsidR="005D708A" w:rsidRPr="000A7654" w:rsidRDefault="00603EB1" w:rsidP="00300053">
      <w:pPr>
        <w:pStyle w:val="ListParagraph"/>
        <w:numPr>
          <w:ilvl w:val="0"/>
          <w:numId w:val="2"/>
        </w:numPr>
        <w:spacing w:after="0"/>
        <w:jc w:val="both"/>
        <w:rPr>
          <w:rFonts w:ascii="Arial" w:hAnsi="Arial" w:cs="Arial"/>
          <w:sz w:val="20"/>
          <w:szCs w:val="20"/>
        </w:rPr>
      </w:pPr>
      <w:r w:rsidRPr="000A7654">
        <w:rPr>
          <w:rFonts w:ascii="Arial" w:hAnsi="Arial" w:cs="Arial"/>
          <w:sz w:val="20"/>
          <w:szCs w:val="20"/>
        </w:rPr>
        <w:t xml:space="preserve">immediately cease emitting net emissions. </w:t>
      </w:r>
    </w:p>
    <w:p w14:paraId="3A436E05" w14:textId="77777777" w:rsidR="00300053" w:rsidRPr="000A7654" w:rsidRDefault="00300053" w:rsidP="00300053">
      <w:pPr>
        <w:spacing w:after="0"/>
        <w:jc w:val="both"/>
        <w:rPr>
          <w:rFonts w:ascii="Arial" w:hAnsi="Arial" w:cs="Arial"/>
          <w:sz w:val="20"/>
          <w:szCs w:val="20"/>
        </w:rPr>
      </w:pPr>
    </w:p>
    <w:p w14:paraId="16254BB7" w14:textId="6A1E769A" w:rsidR="00167B1A" w:rsidRPr="000A7654" w:rsidRDefault="002D6679" w:rsidP="00E96709">
      <w:pPr>
        <w:jc w:val="both"/>
        <w:rPr>
          <w:rFonts w:ascii="Arial" w:hAnsi="Arial" w:cs="Arial"/>
          <w:sz w:val="20"/>
          <w:szCs w:val="20"/>
        </w:rPr>
      </w:pPr>
      <w:r w:rsidRPr="000A7654">
        <w:rPr>
          <w:rFonts w:ascii="Arial" w:hAnsi="Arial" w:cs="Arial"/>
          <w:sz w:val="20"/>
          <w:szCs w:val="20"/>
        </w:rPr>
        <w:t xml:space="preserve">The </w:t>
      </w:r>
      <w:r w:rsidR="00B03ADA" w:rsidRPr="000A7654">
        <w:rPr>
          <w:rFonts w:ascii="Arial" w:hAnsi="Arial" w:cs="Arial"/>
          <w:sz w:val="20"/>
          <w:szCs w:val="20"/>
        </w:rPr>
        <w:t xml:space="preserve">Respondents </w:t>
      </w:r>
      <w:r w:rsidR="005D708A" w:rsidRPr="000A7654">
        <w:rPr>
          <w:rFonts w:ascii="Arial" w:hAnsi="Arial" w:cs="Arial"/>
          <w:sz w:val="20"/>
          <w:szCs w:val="20"/>
        </w:rPr>
        <w:t xml:space="preserve">applied to strike out the proceeding on the basis that the claim raised no cause of action </w:t>
      </w:r>
      <w:r w:rsidRPr="000A7654">
        <w:rPr>
          <w:rFonts w:ascii="Arial" w:hAnsi="Arial" w:cs="Arial"/>
          <w:sz w:val="20"/>
          <w:szCs w:val="20"/>
        </w:rPr>
        <w:t>and was</w:t>
      </w:r>
      <w:r w:rsidR="005D708A" w:rsidRPr="000A7654">
        <w:rPr>
          <w:rFonts w:ascii="Arial" w:hAnsi="Arial" w:cs="Arial"/>
          <w:sz w:val="20"/>
          <w:szCs w:val="20"/>
        </w:rPr>
        <w:t xml:space="preserve"> related to complex policy matters that were be</w:t>
      </w:r>
      <w:r w:rsidRPr="000A7654">
        <w:rPr>
          <w:rFonts w:ascii="Arial" w:hAnsi="Arial" w:cs="Arial"/>
          <w:sz w:val="20"/>
          <w:szCs w:val="20"/>
        </w:rPr>
        <w:t>tter</w:t>
      </w:r>
      <w:r w:rsidR="005D708A" w:rsidRPr="000A7654">
        <w:rPr>
          <w:rFonts w:ascii="Arial" w:hAnsi="Arial" w:cs="Arial"/>
          <w:sz w:val="20"/>
          <w:szCs w:val="20"/>
        </w:rPr>
        <w:t xml:space="preserve"> addressed by Parliamen</w:t>
      </w:r>
      <w:r w:rsidR="00167B1A" w:rsidRPr="000A7654">
        <w:rPr>
          <w:rFonts w:ascii="Arial" w:hAnsi="Arial" w:cs="Arial"/>
          <w:sz w:val="20"/>
          <w:szCs w:val="20"/>
        </w:rPr>
        <w:t xml:space="preserve">t. </w:t>
      </w:r>
    </w:p>
    <w:p w14:paraId="5ED48BAE" w14:textId="2DB8D9CC" w:rsidR="00167B1A" w:rsidRPr="000A7654" w:rsidRDefault="00167B1A" w:rsidP="00E96709">
      <w:pPr>
        <w:jc w:val="both"/>
        <w:rPr>
          <w:rFonts w:ascii="Arial" w:hAnsi="Arial" w:cs="Arial"/>
          <w:sz w:val="20"/>
          <w:szCs w:val="20"/>
        </w:rPr>
      </w:pPr>
      <w:r w:rsidRPr="000A7654">
        <w:rPr>
          <w:rFonts w:ascii="Arial" w:hAnsi="Arial" w:cs="Arial"/>
          <w:sz w:val="20"/>
          <w:szCs w:val="20"/>
        </w:rPr>
        <w:t xml:space="preserve">The Respondents </w:t>
      </w:r>
      <w:r w:rsidR="00D55093">
        <w:rPr>
          <w:rFonts w:ascii="Arial" w:hAnsi="Arial" w:cs="Arial"/>
          <w:sz w:val="20"/>
          <w:szCs w:val="20"/>
        </w:rPr>
        <w:t>argued that</w:t>
      </w:r>
      <w:r w:rsidRPr="000A7654">
        <w:rPr>
          <w:rFonts w:ascii="Arial" w:hAnsi="Arial" w:cs="Arial"/>
          <w:sz w:val="20"/>
          <w:szCs w:val="20"/>
        </w:rPr>
        <w:t xml:space="preserve">: </w:t>
      </w:r>
    </w:p>
    <w:p w14:paraId="6C1138AE" w14:textId="27883782" w:rsidR="00167B1A" w:rsidRPr="000A7654" w:rsidRDefault="00167B1A" w:rsidP="00E96709">
      <w:pPr>
        <w:pStyle w:val="ListParagraph"/>
        <w:numPr>
          <w:ilvl w:val="0"/>
          <w:numId w:val="6"/>
        </w:numPr>
        <w:jc w:val="both"/>
        <w:rPr>
          <w:rFonts w:ascii="Arial" w:hAnsi="Arial" w:cs="Arial"/>
          <w:sz w:val="20"/>
          <w:szCs w:val="20"/>
        </w:rPr>
      </w:pPr>
      <w:r w:rsidRPr="000A7654">
        <w:rPr>
          <w:rFonts w:ascii="Arial" w:hAnsi="Arial" w:cs="Arial"/>
          <w:sz w:val="20"/>
          <w:szCs w:val="20"/>
        </w:rPr>
        <w:t>parliament had</w:t>
      </w:r>
      <w:r w:rsidR="007F0CBA" w:rsidRPr="000A7654">
        <w:rPr>
          <w:rFonts w:ascii="Arial" w:hAnsi="Arial" w:cs="Arial"/>
          <w:sz w:val="20"/>
          <w:szCs w:val="20"/>
        </w:rPr>
        <w:t xml:space="preserve"> already addressed the situation and settled upon a detailed legislative response</w:t>
      </w:r>
      <w:r w:rsidRPr="000A7654">
        <w:rPr>
          <w:rFonts w:ascii="Arial" w:hAnsi="Arial" w:cs="Arial"/>
          <w:sz w:val="20"/>
          <w:szCs w:val="20"/>
        </w:rPr>
        <w:t xml:space="preserve"> </w:t>
      </w:r>
      <w:r w:rsidR="00B90655" w:rsidRPr="000A7654">
        <w:rPr>
          <w:rFonts w:ascii="Arial" w:hAnsi="Arial" w:cs="Arial"/>
          <w:sz w:val="20"/>
          <w:szCs w:val="20"/>
        </w:rPr>
        <w:t>such</w:t>
      </w:r>
      <w:r w:rsidR="00F37DFA" w:rsidRPr="000A7654">
        <w:rPr>
          <w:rFonts w:ascii="Arial" w:hAnsi="Arial" w:cs="Arial"/>
          <w:sz w:val="20"/>
          <w:szCs w:val="20"/>
        </w:rPr>
        <w:t xml:space="preserve"> that</w:t>
      </w:r>
      <w:r w:rsidRPr="000A7654">
        <w:rPr>
          <w:rFonts w:ascii="Arial" w:hAnsi="Arial" w:cs="Arial"/>
          <w:sz w:val="20"/>
          <w:szCs w:val="20"/>
        </w:rPr>
        <w:t xml:space="preserve"> </w:t>
      </w:r>
      <w:r w:rsidR="004A572E" w:rsidRPr="000A7654">
        <w:rPr>
          <w:rFonts w:ascii="Arial" w:hAnsi="Arial" w:cs="Arial"/>
          <w:sz w:val="20"/>
          <w:szCs w:val="20"/>
        </w:rPr>
        <w:t xml:space="preserve">intervention from the common law would create a parallel and inconsistent regulatory </w:t>
      </w:r>
      <w:proofErr w:type="gramStart"/>
      <w:r w:rsidR="004A572E" w:rsidRPr="000A7654">
        <w:rPr>
          <w:rFonts w:ascii="Arial" w:hAnsi="Arial" w:cs="Arial"/>
          <w:sz w:val="20"/>
          <w:szCs w:val="20"/>
        </w:rPr>
        <w:t>regime</w:t>
      </w:r>
      <w:r w:rsidRPr="000A7654">
        <w:rPr>
          <w:rFonts w:ascii="Arial" w:hAnsi="Arial" w:cs="Arial"/>
          <w:sz w:val="20"/>
          <w:szCs w:val="20"/>
        </w:rPr>
        <w:t>;</w:t>
      </w:r>
      <w:proofErr w:type="gramEnd"/>
      <w:r w:rsidRPr="000A7654">
        <w:rPr>
          <w:rFonts w:ascii="Arial" w:hAnsi="Arial" w:cs="Arial"/>
          <w:sz w:val="20"/>
          <w:szCs w:val="20"/>
        </w:rPr>
        <w:t xml:space="preserve"> </w:t>
      </w:r>
    </w:p>
    <w:p w14:paraId="0A1AED9B" w14:textId="77777777" w:rsidR="00167B1A" w:rsidRPr="000A7654" w:rsidRDefault="00167B1A" w:rsidP="00167B1A">
      <w:pPr>
        <w:pStyle w:val="ListParagraph"/>
        <w:jc w:val="both"/>
        <w:rPr>
          <w:rFonts w:ascii="Arial" w:hAnsi="Arial" w:cs="Arial"/>
          <w:sz w:val="20"/>
          <w:szCs w:val="20"/>
        </w:rPr>
      </w:pPr>
    </w:p>
    <w:p w14:paraId="3960864C" w14:textId="5FBC7FD6" w:rsidR="007F0CBA" w:rsidRPr="000A7654" w:rsidRDefault="00167B1A" w:rsidP="00E96709">
      <w:pPr>
        <w:pStyle w:val="ListParagraph"/>
        <w:numPr>
          <w:ilvl w:val="0"/>
          <w:numId w:val="6"/>
        </w:numPr>
        <w:jc w:val="both"/>
        <w:rPr>
          <w:rFonts w:ascii="Arial" w:hAnsi="Arial" w:cs="Arial"/>
          <w:sz w:val="20"/>
          <w:szCs w:val="20"/>
        </w:rPr>
      </w:pPr>
      <w:r w:rsidRPr="000A7654">
        <w:rPr>
          <w:rFonts w:ascii="Arial" w:hAnsi="Arial" w:cs="Arial"/>
          <w:sz w:val="20"/>
          <w:szCs w:val="20"/>
        </w:rPr>
        <w:t xml:space="preserve">it </w:t>
      </w:r>
      <w:r w:rsidR="00E57143" w:rsidRPr="000A7654">
        <w:rPr>
          <w:rFonts w:ascii="Arial" w:hAnsi="Arial" w:cs="Arial"/>
          <w:sz w:val="20"/>
          <w:szCs w:val="20"/>
        </w:rPr>
        <w:t xml:space="preserve">was not possible to link emissions to the harm suffered by </w:t>
      </w:r>
      <w:proofErr w:type="spellStart"/>
      <w:r w:rsidRPr="000A7654">
        <w:rPr>
          <w:rFonts w:ascii="Arial" w:hAnsi="Arial" w:cs="Arial"/>
          <w:sz w:val="20"/>
          <w:szCs w:val="20"/>
        </w:rPr>
        <w:t>Mr</w:t>
      </w:r>
      <w:proofErr w:type="spellEnd"/>
      <w:r w:rsidRPr="000A7654">
        <w:rPr>
          <w:rFonts w:ascii="Arial" w:hAnsi="Arial" w:cs="Arial"/>
          <w:sz w:val="20"/>
          <w:szCs w:val="20"/>
        </w:rPr>
        <w:t xml:space="preserve"> Smit</w:t>
      </w:r>
      <w:r w:rsidR="002548ED" w:rsidRPr="000A7654">
        <w:rPr>
          <w:rFonts w:ascii="Arial" w:hAnsi="Arial" w:cs="Arial"/>
          <w:sz w:val="20"/>
          <w:szCs w:val="20"/>
        </w:rPr>
        <w:t>h</w:t>
      </w:r>
      <w:r w:rsidRPr="000A7654">
        <w:rPr>
          <w:rFonts w:ascii="Arial" w:hAnsi="Arial" w:cs="Arial"/>
          <w:sz w:val="20"/>
          <w:szCs w:val="20"/>
        </w:rPr>
        <w:t xml:space="preserve">; and </w:t>
      </w:r>
    </w:p>
    <w:p w14:paraId="41AAB086" w14:textId="77777777" w:rsidR="00167B1A" w:rsidRPr="000A7654" w:rsidRDefault="00167B1A" w:rsidP="00167B1A">
      <w:pPr>
        <w:pStyle w:val="ListParagraph"/>
        <w:rPr>
          <w:rFonts w:ascii="Arial" w:hAnsi="Arial" w:cs="Arial"/>
          <w:sz w:val="20"/>
          <w:szCs w:val="20"/>
        </w:rPr>
      </w:pPr>
    </w:p>
    <w:p w14:paraId="431CC47C" w14:textId="3FB270FD" w:rsidR="00167B1A" w:rsidRPr="000A7654" w:rsidRDefault="00167B1A" w:rsidP="00E96709">
      <w:pPr>
        <w:pStyle w:val="ListParagraph"/>
        <w:numPr>
          <w:ilvl w:val="0"/>
          <w:numId w:val="6"/>
        </w:numPr>
        <w:jc w:val="both"/>
        <w:rPr>
          <w:rFonts w:ascii="Arial" w:hAnsi="Arial" w:cs="Arial"/>
          <w:sz w:val="20"/>
          <w:szCs w:val="20"/>
        </w:rPr>
      </w:pPr>
      <w:proofErr w:type="spellStart"/>
      <w:r w:rsidRPr="000A7654">
        <w:rPr>
          <w:rFonts w:ascii="Arial" w:hAnsi="Arial" w:cs="Arial"/>
          <w:sz w:val="20"/>
          <w:szCs w:val="20"/>
        </w:rPr>
        <w:t>Mr</w:t>
      </w:r>
      <w:proofErr w:type="spellEnd"/>
      <w:r w:rsidRPr="000A7654">
        <w:rPr>
          <w:rFonts w:ascii="Arial" w:hAnsi="Arial" w:cs="Arial"/>
          <w:sz w:val="20"/>
          <w:szCs w:val="20"/>
        </w:rPr>
        <w:t xml:space="preserve"> Smith’s claim would open the floodgates to open-ended liability for greenhouse gas emitters which would dramatically disrupt economies. </w:t>
      </w:r>
    </w:p>
    <w:p w14:paraId="03E98128" w14:textId="55691997" w:rsidR="008203BC" w:rsidRPr="000A7654" w:rsidRDefault="00BA00C5" w:rsidP="00E96709">
      <w:pPr>
        <w:jc w:val="both"/>
        <w:rPr>
          <w:rFonts w:ascii="Arial" w:hAnsi="Arial" w:cs="Arial"/>
          <w:sz w:val="20"/>
          <w:szCs w:val="20"/>
        </w:rPr>
      </w:pPr>
      <w:r w:rsidRPr="000A7654">
        <w:rPr>
          <w:rFonts w:ascii="Arial" w:hAnsi="Arial" w:cs="Arial"/>
          <w:sz w:val="20"/>
          <w:szCs w:val="20"/>
        </w:rPr>
        <w:t xml:space="preserve">In 2020, the High Court struck out </w:t>
      </w:r>
      <w:proofErr w:type="spellStart"/>
      <w:r w:rsidR="00D55093">
        <w:rPr>
          <w:rFonts w:ascii="Arial" w:hAnsi="Arial" w:cs="Arial"/>
          <w:sz w:val="20"/>
          <w:szCs w:val="20"/>
        </w:rPr>
        <w:t>Mr</w:t>
      </w:r>
      <w:proofErr w:type="spellEnd"/>
      <w:r w:rsidR="00D55093">
        <w:rPr>
          <w:rFonts w:ascii="Arial" w:hAnsi="Arial" w:cs="Arial"/>
          <w:sz w:val="20"/>
          <w:szCs w:val="20"/>
        </w:rPr>
        <w:t xml:space="preserve"> Smith’s</w:t>
      </w:r>
      <w:r w:rsidR="00D55093" w:rsidRPr="000A7654">
        <w:rPr>
          <w:rFonts w:ascii="Arial" w:hAnsi="Arial" w:cs="Arial"/>
          <w:sz w:val="20"/>
          <w:szCs w:val="20"/>
        </w:rPr>
        <w:t xml:space="preserve"> </w:t>
      </w:r>
      <w:r w:rsidRPr="000A7654">
        <w:rPr>
          <w:rFonts w:ascii="Arial" w:hAnsi="Arial" w:cs="Arial"/>
          <w:sz w:val="20"/>
          <w:szCs w:val="20"/>
        </w:rPr>
        <w:t xml:space="preserve">public nuisance and negligence </w:t>
      </w:r>
      <w:r w:rsidR="002D6679" w:rsidRPr="000A7654">
        <w:rPr>
          <w:rFonts w:ascii="Arial" w:hAnsi="Arial" w:cs="Arial"/>
          <w:sz w:val="20"/>
          <w:szCs w:val="20"/>
        </w:rPr>
        <w:t xml:space="preserve">claims </w:t>
      </w:r>
      <w:r w:rsidRPr="000A7654">
        <w:rPr>
          <w:rFonts w:ascii="Arial" w:hAnsi="Arial" w:cs="Arial"/>
          <w:sz w:val="20"/>
          <w:szCs w:val="20"/>
        </w:rPr>
        <w:t xml:space="preserve">but declined to strike out the proposed new </w:t>
      </w:r>
      <w:r w:rsidR="003E43B9" w:rsidRPr="000A7654">
        <w:rPr>
          <w:rFonts w:ascii="Arial" w:hAnsi="Arial" w:cs="Arial"/>
          <w:sz w:val="20"/>
          <w:szCs w:val="20"/>
        </w:rPr>
        <w:t xml:space="preserve">tort claim for </w:t>
      </w:r>
      <w:r w:rsidRPr="000A7654">
        <w:rPr>
          <w:rFonts w:ascii="Arial" w:hAnsi="Arial" w:cs="Arial"/>
          <w:sz w:val="20"/>
          <w:szCs w:val="20"/>
        </w:rPr>
        <w:t xml:space="preserve">climate change damage. </w:t>
      </w:r>
      <w:proofErr w:type="spellStart"/>
      <w:r w:rsidRPr="000A7654">
        <w:rPr>
          <w:rFonts w:ascii="Arial" w:hAnsi="Arial" w:cs="Arial"/>
          <w:sz w:val="20"/>
          <w:szCs w:val="20"/>
        </w:rPr>
        <w:t>Mr</w:t>
      </w:r>
      <w:proofErr w:type="spellEnd"/>
      <w:r w:rsidRPr="000A7654">
        <w:rPr>
          <w:rFonts w:ascii="Arial" w:hAnsi="Arial" w:cs="Arial"/>
          <w:sz w:val="20"/>
          <w:szCs w:val="20"/>
        </w:rPr>
        <w:t xml:space="preserve"> Smith appealed and the </w:t>
      </w:r>
      <w:r w:rsidR="00A1358B" w:rsidRPr="000A7654">
        <w:rPr>
          <w:rFonts w:ascii="Arial" w:hAnsi="Arial" w:cs="Arial"/>
          <w:sz w:val="20"/>
          <w:szCs w:val="20"/>
        </w:rPr>
        <w:t xml:space="preserve">Respondents </w:t>
      </w:r>
      <w:r w:rsidR="002D6679" w:rsidRPr="000A7654">
        <w:rPr>
          <w:rFonts w:ascii="Arial" w:hAnsi="Arial" w:cs="Arial"/>
          <w:sz w:val="20"/>
          <w:szCs w:val="20"/>
        </w:rPr>
        <w:t>cross-appealed</w:t>
      </w:r>
      <w:r w:rsidRPr="000A7654">
        <w:rPr>
          <w:rFonts w:ascii="Arial" w:hAnsi="Arial" w:cs="Arial"/>
          <w:sz w:val="20"/>
          <w:szCs w:val="20"/>
        </w:rPr>
        <w:t>.</w:t>
      </w:r>
      <w:r w:rsidR="008203BC" w:rsidRPr="000A7654">
        <w:rPr>
          <w:rFonts w:ascii="Arial" w:hAnsi="Arial" w:cs="Arial"/>
          <w:sz w:val="20"/>
          <w:szCs w:val="20"/>
        </w:rPr>
        <w:t xml:space="preserve"> </w:t>
      </w:r>
    </w:p>
    <w:p w14:paraId="0C9D6EF3" w14:textId="3C079BC2" w:rsidR="00B03ADA" w:rsidRPr="000A7654" w:rsidRDefault="00BA00C5" w:rsidP="00E96709">
      <w:pPr>
        <w:jc w:val="both"/>
        <w:rPr>
          <w:rFonts w:ascii="Arial" w:hAnsi="Arial" w:cs="Arial"/>
          <w:i/>
          <w:iCs/>
          <w:sz w:val="20"/>
          <w:szCs w:val="20"/>
        </w:rPr>
      </w:pPr>
      <w:r w:rsidRPr="000A7654">
        <w:rPr>
          <w:rFonts w:ascii="Arial" w:hAnsi="Arial" w:cs="Arial"/>
          <w:sz w:val="20"/>
          <w:szCs w:val="20"/>
        </w:rPr>
        <w:lastRenderedPageBreak/>
        <w:t>In October 2021, the Court of Appeal concluded that all claims should be struck out</w:t>
      </w:r>
      <w:r w:rsidR="002D6679" w:rsidRPr="000A7654">
        <w:rPr>
          <w:rFonts w:ascii="Arial" w:hAnsi="Arial" w:cs="Arial"/>
          <w:sz w:val="20"/>
          <w:szCs w:val="20"/>
        </w:rPr>
        <w:t xml:space="preserve"> and </w:t>
      </w:r>
      <w:r w:rsidRPr="000A7654">
        <w:rPr>
          <w:rFonts w:ascii="Arial" w:hAnsi="Arial" w:cs="Arial"/>
          <w:sz w:val="20"/>
          <w:szCs w:val="20"/>
        </w:rPr>
        <w:t>that the response to climate change was best left to other branches of government</w:t>
      </w:r>
      <w:r w:rsidR="002D6679" w:rsidRPr="000A7654">
        <w:rPr>
          <w:rFonts w:ascii="Arial" w:hAnsi="Arial" w:cs="Arial"/>
          <w:sz w:val="20"/>
          <w:szCs w:val="20"/>
        </w:rPr>
        <w:t xml:space="preserve">. The </w:t>
      </w:r>
      <w:r w:rsidR="008203BC" w:rsidRPr="000A7654">
        <w:rPr>
          <w:rFonts w:ascii="Arial" w:hAnsi="Arial" w:cs="Arial"/>
          <w:sz w:val="20"/>
          <w:szCs w:val="20"/>
        </w:rPr>
        <w:t>Court's</w:t>
      </w:r>
      <w:r w:rsidR="002D6679" w:rsidRPr="000A7654">
        <w:rPr>
          <w:rFonts w:ascii="Arial" w:hAnsi="Arial" w:cs="Arial"/>
          <w:sz w:val="20"/>
          <w:szCs w:val="20"/>
        </w:rPr>
        <w:t xml:space="preserve"> overarching view was </w:t>
      </w:r>
      <w:proofErr w:type="gramStart"/>
      <w:r w:rsidR="002D6679" w:rsidRPr="000A7654">
        <w:rPr>
          <w:rFonts w:ascii="Arial" w:hAnsi="Arial" w:cs="Arial"/>
          <w:sz w:val="20"/>
          <w:szCs w:val="20"/>
        </w:rPr>
        <w:t>that</w:t>
      </w:r>
      <w:r w:rsidR="008203BC" w:rsidRPr="000A7654">
        <w:rPr>
          <w:rFonts w:ascii="Arial" w:hAnsi="Arial" w:cs="Arial"/>
          <w:sz w:val="20"/>
          <w:szCs w:val="20"/>
        </w:rPr>
        <w:t xml:space="preserve">  “</w:t>
      </w:r>
      <w:proofErr w:type="gramEnd"/>
      <w:r w:rsidR="008203BC" w:rsidRPr="000A7654">
        <w:rPr>
          <w:rFonts w:ascii="Arial" w:hAnsi="Arial" w:cs="Arial"/>
          <w:i/>
          <w:iCs/>
          <w:sz w:val="20"/>
          <w:szCs w:val="20"/>
        </w:rPr>
        <w:t>the magnitude of the crisis which is climate change simply cannot be appropriately or adequately addressed by common law tort claims pursued through the courts…”</w:t>
      </w:r>
      <w:r w:rsidR="00AA311A" w:rsidRPr="000A7654">
        <w:rPr>
          <w:rFonts w:ascii="Arial" w:hAnsi="Arial" w:cs="Arial"/>
          <w:i/>
          <w:iCs/>
          <w:sz w:val="20"/>
          <w:szCs w:val="20"/>
        </w:rPr>
        <w:t xml:space="preserve">. </w:t>
      </w:r>
    </w:p>
    <w:p w14:paraId="4E565467" w14:textId="404BA369" w:rsidR="0074733A" w:rsidRPr="000A7654" w:rsidRDefault="00AA311A" w:rsidP="00E96709">
      <w:pPr>
        <w:jc w:val="both"/>
        <w:rPr>
          <w:rFonts w:ascii="Arial" w:hAnsi="Arial" w:cs="Arial"/>
          <w:i/>
          <w:iCs/>
          <w:sz w:val="20"/>
          <w:szCs w:val="20"/>
        </w:rPr>
      </w:pPr>
      <w:r w:rsidRPr="000A7654">
        <w:rPr>
          <w:rFonts w:ascii="Arial" w:hAnsi="Arial" w:cs="Arial"/>
          <w:sz w:val="20"/>
          <w:szCs w:val="20"/>
        </w:rPr>
        <w:t xml:space="preserve">The Court of Appeal </w:t>
      </w:r>
      <w:r w:rsidR="002C0E36" w:rsidRPr="000A7654">
        <w:rPr>
          <w:rFonts w:ascii="Arial" w:hAnsi="Arial" w:cs="Arial"/>
          <w:sz w:val="20"/>
          <w:szCs w:val="20"/>
        </w:rPr>
        <w:t>said</w:t>
      </w:r>
      <w:r w:rsidRPr="000A7654">
        <w:rPr>
          <w:rFonts w:ascii="Arial" w:hAnsi="Arial" w:cs="Arial"/>
          <w:sz w:val="20"/>
          <w:szCs w:val="20"/>
        </w:rPr>
        <w:t xml:space="preserve"> that</w:t>
      </w:r>
      <w:r w:rsidR="00B03ADA" w:rsidRPr="000A7654">
        <w:rPr>
          <w:rFonts w:ascii="Arial" w:hAnsi="Arial" w:cs="Arial"/>
          <w:sz w:val="20"/>
          <w:szCs w:val="20"/>
        </w:rPr>
        <w:t xml:space="preserve"> the claim should be struck out because</w:t>
      </w:r>
      <w:r w:rsidRPr="000A7654">
        <w:rPr>
          <w:rFonts w:ascii="Arial" w:hAnsi="Arial" w:cs="Arial"/>
          <w:sz w:val="20"/>
          <w:szCs w:val="20"/>
        </w:rPr>
        <w:t xml:space="preserve"> private litigation could result in emitters being required to </w:t>
      </w:r>
      <w:r w:rsidRPr="000A7654">
        <w:rPr>
          <w:rFonts w:ascii="Arial" w:hAnsi="Arial" w:cs="Arial"/>
          <w:i/>
          <w:iCs/>
          <w:sz w:val="20"/>
          <w:szCs w:val="20"/>
        </w:rPr>
        <w:t>“comply with requirements that are more stringent than those imposed by statute”.</w:t>
      </w:r>
      <w:r w:rsidR="008203BC" w:rsidRPr="000A7654">
        <w:rPr>
          <w:rFonts w:ascii="Arial" w:hAnsi="Arial" w:cs="Arial"/>
          <w:i/>
          <w:iCs/>
          <w:sz w:val="20"/>
          <w:szCs w:val="20"/>
        </w:rPr>
        <w:t xml:space="preserve"> </w:t>
      </w:r>
      <w:r w:rsidR="00385577" w:rsidRPr="000A7654">
        <w:rPr>
          <w:rFonts w:ascii="Arial" w:hAnsi="Arial" w:cs="Arial"/>
          <w:sz w:val="20"/>
          <w:szCs w:val="20"/>
        </w:rPr>
        <w:t>Mr</w:t>
      </w:r>
      <w:r w:rsidR="00D55093">
        <w:rPr>
          <w:rFonts w:ascii="Arial" w:hAnsi="Arial" w:cs="Arial"/>
          <w:sz w:val="20"/>
          <w:szCs w:val="20"/>
        </w:rPr>
        <w:t>.</w:t>
      </w:r>
      <w:r w:rsidR="00385577" w:rsidRPr="000A7654">
        <w:rPr>
          <w:rFonts w:ascii="Arial" w:hAnsi="Arial" w:cs="Arial"/>
          <w:sz w:val="20"/>
          <w:szCs w:val="20"/>
        </w:rPr>
        <w:t xml:space="preserve"> Smith appealed to </w:t>
      </w:r>
      <w:r w:rsidR="005F3FF1" w:rsidRPr="000A7654">
        <w:rPr>
          <w:rFonts w:ascii="Arial" w:hAnsi="Arial" w:cs="Arial"/>
          <w:sz w:val="20"/>
          <w:szCs w:val="20"/>
        </w:rPr>
        <w:t xml:space="preserve">the </w:t>
      </w:r>
      <w:r w:rsidR="002D6679" w:rsidRPr="000A7654">
        <w:rPr>
          <w:rFonts w:ascii="Arial" w:hAnsi="Arial" w:cs="Arial"/>
          <w:sz w:val="20"/>
          <w:szCs w:val="20"/>
        </w:rPr>
        <w:t>Supreme Court of New Zealand</w:t>
      </w:r>
      <w:r w:rsidR="005F3FF1" w:rsidRPr="000A7654">
        <w:rPr>
          <w:rFonts w:ascii="Arial" w:hAnsi="Arial" w:cs="Arial"/>
          <w:sz w:val="20"/>
          <w:szCs w:val="20"/>
        </w:rPr>
        <w:t xml:space="preserve"> </w:t>
      </w:r>
      <w:r w:rsidR="00B03ADA" w:rsidRPr="000A7654">
        <w:rPr>
          <w:rFonts w:ascii="Arial" w:hAnsi="Arial" w:cs="Arial"/>
          <w:sz w:val="20"/>
          <w:szCs w:val="20"/>
        </w:rPr>
        <w:t>and the</w:t>
      </w:r>
      <w:r w:rsidR="005F3FF1" w:rsidRPr="000A7654">
        <w:rPr>
          <w:rFonts w:ascii="Arial" w:hAnsi="Arial" w:cs="Arial"/>
          <w:sz w:val="20"/>
          <w:szCs w:val="20"/>
        </w:rPr>
        <w:t xml:space="preserve"> Court was</w:t>
      </w:r>
      <w:r w:rsidR="002D6679" w:rsidRPr="000A7654">
        <w:rPr>
          <w:rFonts w:ascii="Arial" w:hAnsi="Arial" w:cs="Arial"/>
          <w:sz w:val="20"/>
          <w:szCs w:val="20"/>
        </w:rPr>
        <w:t xml:space="preserve"> asked to consider whether the claim should be allowed to proceed to trial</w:t>
      </w:r>
      <w:r w:rsidR="00B03ADA" w:rsidRPr="000A7654">
        <w:rPr>
          <w:rFonts w:ascii="Arial" w:hAnsi="Arial" w:cs="Arial"/>
          <w:sz w:val="20"/>
          <w:szCs w:val="20"/>
        </w:rPr>
        <w:t xml:space="preserve">. </w:t>
      </w:r>
    </w:p>
    <w:p w14:paraId="12FED7A2" w14:textId="498D06A6" w:rsidR="0074733A" w:rsidRPr="000A7654" w:rsidRDefault="0074733A" w:rsidP="00E96709">
      <w:pPr>
        <w:jc w:val="both"/>
        <w:rPr>
          <w:rFonts w:ascii="Arial" w:hAnsi="Arial" w:cs="Arial"/>
          <w:b/>
          <w:bCs/>
          <w:sz w:val="20"/>
          <w:szCs w:val="20"/>
        </w:rPr>
      </w:pPr>
      <w:r w:rsidRPr="000A7654">
        <w:rPr>
          <w:rFonts w:ascii="Arial" w:hAnsi="Arial" w:cs="Arial"/>
          <w:b/>
          <w:bCs/>
          <w:sz w:val="20"/>
          <w:szCs w:val="20"/>
        </w:rPr>
        <w:t xml:space="preserve">Decision </w:t>
      </w:r>
    </w:p>
    <w:p w14:paraId="7DEDBE7C" w14:textId="454A8AB9" w:rsidR="00B97979" w:rsidRPr="000A7654" w:rsidRDefault="00E22DA4" w:rsidP="00251721">
      <w:pPr>
        <w:jc w:val="both"/>
        <w:rPr>
          <w:rFonts w:ascii="Arial" w:hAnsi="Arial" w:cs="Arial"/>
          <w:sz w:val="20"/>
          <w:szCs w:val="20"/>
        </w:rPr>
      </w:pPr>
      <w:r w:rsidRPr="000A7654">
        <w:rPr>
          <w:rFonts w:ascii="Arial" w:hAnsi="Arial" w:cs="Arial"/>
          <w:sz w:val="20"/>
          <w:szCs w:val="20"/>
        </w:rPr>
        <w:t xml:space="preserve">In a unanimous </w:t>
      </w:r>
      <w:r w:rsidR="00BA00C5" w:rsidRPr="000A7654">
        <w:rPr>
          <w:rFonts w:ascii="Arial" w:hAnsi="Arial" w:cs="Arial"/>
          <w:sz w:val="20"/>
          <w:szCs w:val="20"/>
        </w:rPr>
        <w:t>judgment</w:t>
      </w:r>
      <w:r w:rsidRPr="000A7654">
        <w:rPr>
          <w:rFonts w:ascii="Arial" w:hAnsi="Arial" w:cs="Arial"/>
          <w:sz w:val="20"/>
          <w:szCs w:val="20"/>
        </w:rPr>
        <w:t xml:space="preserve">, the Supreme Court overturned the Court of Appeal’s decision to strike out all three claims against the </w:t>
      </w:r>
      <w:r w:rsidR="00C247DF" w:rsidRPr="000A7654">
        <w:rPr>
          <w:rFonts w:ascii="Arial" w:hAnsi="Arial" w:cs="Arial"/>
          <w:sz w:val="20"/>
          <w:szCs w:val="20"/>
        </w:rPr>
        <w:t>Respondents</w:t>
      </w:r>
      <w:r w:rsidR="00BA00C5" w:rsidRPr="000A7654">
        <w:rPr>
          <w:rFonts w:ascii="Arial" w:hAnsi="Arial" w:cs="Arial"/>
          <w:sz w:val="20"/>
          <w:szCs w:val="20"/>
        </w:rPr>
        <w:t xml:space="preserve"> and allowed </w:t>
      </w:r>
      <w:proofErr w:type="spellStart"/>
      <w:r w:rsidR="00BA00C5" w:rsidRPr="000A7654">
        <w:rPr>
          <w:rFonts w:ascii="Arial" w:hAnsi="Arial" w:cs="Arial"/>
          <w:sz w:val="20"/>
          <w:szCs w:val="20"/>
        </w:rPr>
        <w:t>Mr</w:t>
      </w:r>
      <w:proofErr w:type="spellEnd"/>
      <w:r w:rsidR="00BA00C5" w:rsidRPr="000A7654">
        <w:rPr>
          <w:rFonts w:ascii="Arial" w:hAnsi="Arial" w:cs="Arial"/>
          <w:sz w:val="20"/>
          <w:szCs w:val="20"/>
        </w:rPr>
        <w:t xml:space="preserve"> Smith’s claims in negligence, public nuisance, and his</w:t>
      </w:r>
      <w:r w:rsidR="007F0CBA" w:rsidRPr="000A7654">
        <w:rPr>
          <w:rFonts w:ascii="Arial" w:hAnsi="Arial" w:cs="Arial"/>
          <w:sz w:val="20"/>
          <w:szCs w:val="20"/>
        </w:rPr>
        <w:t xml:space="preserve"> proposed new tort</w:t>
      </w:r>
      <w:r w:rsidR="00BA00C5" w:rsidRPr="000A7654">
        <w:rPr>
          <w:rFonts w:ascii="Arial" w:hAnsi="Arial" w:cs="Arial"/>
          <w:sz w:val="20"/>
          <w:szCs w:val="20"/>
        </w:rPr>
        <w:t xml:space="preserve"> claim regarding ‘climate system damage’</w:t>
      </w:r>
      <w:r w:rsidR="00291CA6" w:rsidRPr="000A7654">
        <w:rPr>
          <w:rFonts w:ascii="Arial" w:hAnsi="Arial" w:cs="Arial"/>
          <w:sz w:val="20"/>
          <w:szCs w:val="20"/>
        </w:rPr>
        <w:t xml:space="preserve"> to proceed to trial</w:t>
      </w:r>
      <w:r w:rsidR="00BA00C5" w:rsidRPr="000A7654">
        <w:rPr>
          <w:rFonts w:ascii="Arial" w:hAnsi="Arial" w:cs="Arial"/>
          <w:sz w:val="20"/>
          <w:szCs w:val="20"/>
        </w:rPr>
        <w:t>.</w:t>
      </w:r>
    </w:p>
    <w:p w14:paraId="0B3E2CD1" w14:textId="60C25648" w:rsidR="00870BAF" w:rsidRPr="000A7654" w:rsidRDefault="00870BAF" w:rsidP="00251721">
      <w:pPr>
        <w:jc w:val="both"/>
        <w:rPr>
          <w:rFonts w:ascii="Arial" w:hAnsi="Arial" w:cs="Arial"/>
          <w:sz w:val="20"/>
          <w:szCs w:val="20"/>
        </w:rPr>
      </w:pPr>
      <w:r w:rsidRPr="000A7654">
        <w:rPr>
          <w:rFonts w:ascii="Arial" w:hAnsi="Arial" w:cs="Arial"/>
          <w:sz w:val="20"/>
          <w:szCs w:val="20"/>
        </w:rPr>
        <w:t xml:space="preserve">In summary: </w:t>
      </w:r>
    </w:p>
    <w:p w14:paraId="24AD139E" w14:textId="05C9AF68" w:rsidR="00251721" w:rsidRPr="000A7654" w:rsidRDefault="00251721" w:rsidP="00870BAF">
      <w:pPr>
        <w:pStyle w:val="ListParagraph"/>
        <w:numPr>
          <w:ilvl w:val="0"/>
          <w:numId w:val="4"/>
        </w:numPr>
        <w:jc w:val="both"/>
        <w:rPr>
          <w:rFonts w:ascii="Arial" w:hAnsi="Arial" w:cs="Arial"/>
          <w:sz w:val="20"/>
          <w:szCs w:val="20"/>
        </w:rPr>
      </w:pPr>
      <w:r w:rsidRPr="000A7654">
        <w:rPr>
          <w:rFonts w:ascii="Arial" w:hAnsi="Arial" w:cs="Arial"/>
          <w:sz w:val="20"/>
          <w:szCs w:val="20"/>
        </w:rPr>
        <w:t xml:space="preserve">The Court </w:t>
      </w:r>
      <w:r w:rsidR="00097E55" w:rsidRPr="000A7654">
        <w:rPr>
          <w:rFonts w:ascii="Arial" w:hAnsi="Arial" w:cs="Arial"/>
          <w:sz w:val="20"/>
          <w:szCs w:val="20"/>
        </w:rPr>
        <w:t xml:space="preserve">noted </w:t>
      </w:r>
      <w:r w:rsidRPr="000A7654">
        <w:rPr>
          <w:rFonts w:ascii="Arial" w:hAnsi="Arial" w:cs="Arial"/>
          <w:sz w:val="20"/>
          <w:szCs w:val="20"/>
        </w:rPr>
        <w:t>the</w:t>
      </w:r>
      <w:r w:rsidR="00385577" w:rsidRPr="000A7654">
        <w:rPr>
          <w:rFonts w:ascii="Arial" w:hAnsi="Arial" w:cs="Arial"/>
          <w:sz w:val="20"/>
          <w:szCs w:val="20"/>
        </w:rPr>
        <w:t>re was</w:t>
      </w:r>
      <w:r w:rsidRPr="000A7654">
        <w:rPr>
          <w:rFonts w:ascii="Arial" w:hAnsi="Arial" w:cs="Arial"/>
          <w:sz w:val="20"/>
          <w:szCs w:val="20"/>
        </w:rPr>
        <w:t xml:space="preserve"> indisputable evidence that climate change threatens human well-being and planetary health</w:t>
      </w:r>
      <w:r w:rsidR="00E428C2" w:rsidRPr="000A7654">
        <w:rPr>
          <w:rFonts w:ascii="Arial" w:hAnsi="Arial" w:cs="Arial"/>
          <w:sz w:val="20"/>
          <w:szCs w:val="20"/>
        </w:rPr>
        <w:t>,</w:t>
      </w:r>
      <w:r w:rsidRPr="000A7654">
        <w:rPr>
          <w:rFonts w:ascii="Arial" w:hAnsi="Arial" w:cs="Arial"/>
          <w:sz w:val="20"/>
          <w:szCs w:val="20"/>
        </w:rPr>
        <w:t xml:space="preserve"> and </w:t>
      </w:r>
      <w:r w:rsidR="00D55093">
        <w:rPr>
          <w:rFonts w:ascii="Arial" w:hAnsi="Arial" w:cs="Arial"/>
          <w:sz w:val="20"/>
          <w:szCs w:val="20"/>
        </w:rPr>
        <w:t xml:space="preserve">that </w:t>
      </w:r>
      <w:r w:rsidRPr="000A7654">
        <w:rPr>
          <w:rFonts w:ascii="Arial" w:hAnsi="Arial" w:cs="Arial"/>
          <w:sz w:val="20"/>
          <w:szCs w:val="20"/>
        </w:rPr>
        <w:t>the opportunity to ensure a livable and sustainable future is rapidly closing.</w:t>
      </w:r>
      <w:r w:rsidR="004A572E" w:rsidRPr="000A7654">
        <w:rPr>
          <w:rFonts w:ascii="Arial" w:hAnsi="Arial" w:cs="Arial"/>
          <w:sz w:val="20"/>
          <w:szCs w:val="20"/>
        </w:rPr>
        <w:t xml:space="preserve">  </w:t>
      </w:r>
    </w:p>
    <w:p w14:paraId="1F384459" w14:textId="77777777" w:rsidR="00870BAF" w:rsidRPr="000A7654" w:rsidRDefault="00870BAF" w:rsidP="00870BAF">
      <w:pPr>
        <w:pStyle w:val="ListParagraph"/>
        <w:jc w:val="both"/>
        <w:rPr>
          <w:rFonts w:ascii="Arial" w:hAnsi="Arial" w:cs="Arial"/>
          <w:sz w:val="20"/>
          <w:szCs w:val="20"/>
        </w:rPr>
      </w:pPr>
    </w:p>
    <w:p w14:paraId="021F13E4" w14:textId="57B8AF6D" w:rsidR="00C247DF" w:rsidRPr="000A7654" w:rsidRDefault="0038344B" w:rsidP="00097E55">
      <w:pPr>
        <w:pStyle w:val="ListParagraph"/>
        <w:numPr>
          <w:ilvl w:val="0"/>
          <w:numId w:val="4"/>
        </w:numPr>
        <w:jc w:val="both"/>
        <w:rPr>
          <w:rFonts w:ascii="Arial" w:hAnsi="Arial" w:cs="Arial"/>
          <w:sz w:val="20"/>
          <w:szCs w:val="20"/>
        </w:rPr>
      </w:pPr>
      <w:r w:rsidRPr="000A7654">
        <w:rPr>
          <w:rFonts w:ascii="Arial" w:hAnsi="Arial" w:cs="Arial"/>
          <w:sz w:val="20"/>
          <w:szCs w:val="20"/>
        </w:rPr>
        <w:t xml:space="preserve">The Court </w:t>
      </w:r>
      <w:r w:rsidR="00097E55" w:rsidRPr="000A7654">
        <w:rPr>
          <w:rFonts w:ascii="Arial" w:hAnsi="Arial" w:cs="Arial"/>
          <w:sz w:val="20"/>
          <w:szCs w:val="20"/>
        </w:rPr>
        <w:t xml:space="preserve">dismissed the argument that claims in tort relating to climate change are excluded by statute. </w:t>
      </w:r>
      <w:r w:rsidR="00C247DF" w:rsidRPr="000A7654">
        <w:rPr>
          <w:rFonts w:ascii="Arial" w:hAnsi="Arial" w:cs="Arial"/>
          <w:sz w:val="20"/>
          <w:szCs w:val="20"/>
        </w:rPr>
        <w:t>T</w:t>
      </w:r>
      <w:r w:rsidR="00097E55" w:rsidRPr="000A7654">
        <w:rPr>
          <w:rFonts w:ascii="Arial" w:hAnsi="Arial" w:cs="Arial"/>
          <w:sz w:val="20"/>
          <w:szCs w:val="20"/>
        </w:rPr>
        <w:t>he Court considered</w:t>
      </w:r>
      <w:r w:rsidRPr="000A7654">
        <w:rPr>
          <w:rFonts w:ascii="Arial" w:hAnsi="Arial" w:cs="Arial"/>
          <w:sz w:val="20"/>
          <w:szCs w:val="20"/>
        </w:rPr>
        <w:t xml:space="preserve"> the interrelationship between statute and the common law </w:t>
      </w:r>
      <w:r w:rsidR="00870BAF" w:rsidRPr="000A7654">
        <w:rPr>
          <w:rFonts w:ascii="Arial" w:hAnsi="Arial" w:cs="Arial"/>
          <w:sz w:val="20"/>
          <w:szCs w:val="20"/>
        </w:rPr>
        <w:t>and referred</w:t>
      </w:r>
      <w:r w:rsidR="00AE4359" w:rsidRPr="000A7654">
        <w:rPr>
          <w:rFonts w:ascii="Arial" w:hAnsi="Arial" w:cs="Arial"/>
          <w:sz w:val="20"/>
          <w:szCs w:val="20"/>
        </w:rPr>
        <w:t xml:space="preserve"> to the </w:t>
      </w:r>
      <w:r w:rsidR="00AE4359" w:rsidRPr="000A7654">
        <w:rPr>
          <w:rFonts w:ascii="Arial" w:hAnsi="Arial" w:cs="Arial"/>
          <w:i/>
          <w:iCs/>
          <w:sz w:val="20"/>
          <w:szCs w:val="20"/>
        </w:rPr>
        <w:t>Resource Management Act 1991</w:t>
      </w:r>
      <w:r w:rsidR="00AE4359" w:rsidRPr="000A7654">
        <w:rPr>
          <w:rFonts w:ascii="Arial" w:hAnsi="Arial" w:cs="Arial"/>
          <w:sz w:val="20"/>
          <w:szCs w:val="20"/>
        </w:rPr>
        <w:t xml:space="preserve"> (</w:t>
      </w:r>
      <w:r w:rsidR="00AE4359" w:rsidRPr="000A7654">
        <w:rPr>
          <w:rFonts w:ascii="Arial" w:hAnsi="Arial" w:cs="Arial"/>
          <w:b/>
          <w:bCs/>
          <w:sz w:val="20"/>
          <w:szCs w:val="20"/>
        </w:rPr>
        <w:t>RMA</w:t>
      </w:r>
      <w:r w:rsidR="00AE4359" w:rsidRPr="000A7654">
        <w:rPr>
          <w:rFonts w:ascii="Arial" w:hAnsi="Arial" w:cs="Arial"/>
          <w:sz w:val="20"/>
          <w:szCs w:val="20"/>
        </w:rPr>
        <w:t>)</w:t>
      </w:r>
      <w:r w:rsidR="00796180" w:rsidRPr="000A7654">
        <w:rPr>
          <w:rFonts w:ascii="Arial" w:hAnsi="Arial" w:cs="Arial"/>
          <w:sz w:val="20"/>
          <w:szCs w:val="20"/>
        </w:rPr>
        <w:t>,</w:t>
      </w:r>
      <w:r w:rsidR="00AE4359" w:rsidRPr="000A7654">
        <w:rPr>
          <w:rFonts w:ascii="Arial" w:hAnsi="Arial" w:cs="Arial"/>
          <w:sz w:val="20"/>
          <w:szCs w:val="20"/>
        </w:rPr>
        <w:t xml:space="preserve"> which is responsible for governing how people interact with natural resources and policing the environmental effects of </w:t>
      </w:r>
      <w:r w:rsidR="00D55093" w:rsidRPr="000A7654">
        <w:rPr>
          <w:rFonts w:ascii="Arial" w:hAnsi="Arial" w:cs="Arial"/>
          <w:sz w:val="20"/>
          <w:szCs w:val="20"/>
        </w:rPr>
        <w:t>emi</w:t>
      </w:r>
      <w:r w:rsidR="00D55093">
        <w:rPr>
          <w:rFonts w:ascii="Arial" w:hAnsi="Arial" w:cs="Arial"/>
          <w:sz w:val="20"/>
          <w:szCs w:val="20"/>
        </w:rPr>
        <w:t>ssions</w:t>
      </w:r>
      <w:r w:rsidR="00AE4359" w:rsidRPr="000A7654">
        <w:rPr>
          <w:rFonts w:ascii="Arial" w:hAnsi="Arial" w:cs="Arial"/>
          <w:sz w:val="20"/>
          <w:szCs w:val="20"/>
        </w:rPr>
        <w:t xml:space="preserve">. </w:t>
      </w:r>
    </w:p>
    <w:p w14:paraId="7D4ACF44" w14:textId="77777777" w:rsidR="00C247DF" w:rsidRPr="000A7654" w:rsidRDefault="00C247DF" w:rsidP="00C247DF">
      <w:pPr>
        <w:pStyle w:val="ListParagraph"/>
        <w:rPr>
          <w:rFonts w:ascii="Arial" w:hAnsi="Arial" w:cs="Arial"/>
          <w:sz w:val="20"/>
          <w:szCs w:val="20"/>
        </w:rPr>
      </w:pPr>
    </w:p>
    <w:p w14:paraId="270A8400" w14:textId="279FA6E6" w:rsidR="0038344B" w:rsidRPr="000A7654" w:rsidRDefault="00B94037" w:rsidP="00C247DF">
      <w:pPr>
        <w:pStyle w:val="ListParagraph"/>
        <w:jc w:val="both"/>
        <w:rPr>
          <w:rFonts w:ascii="Arial" w:hAnsi="Arial" w:cs="Arial"/>
          <w:sz w:val="20"/>
          <w:szCs w:val="20"/>
        </w:rPr>
      </w:pPr>
      <w:r w:rsidRPr="000A7654">
        <w:rPr>
          <w:rFonts w:ascii="Arial" w:hAnsi="Arial" w:cs="Arial"/>
          <w:sz w:val="20"/>
          <w:szCs w:val="20"/>
        </w:rPr>
        <w:t xml:space="preserve">The Court </w:t>
      </w:r>
      <w:r w:rsidR="00097E55" w:rsidRPr="000A7654">
        <w:rPr>
          <w:rFonts w:ascii="Arial" w:hAnsi="Arial" w:cs="Arial"/>
          <w:sz w:val="20"/>
          <w:szCs w:val="20"/>
        </w:rPr>
        <w:t>held that</w:t>
      </w:r>
      <w:r w:rsidR="003E778D" w:rsidRPr="000A7654">
        <w:rPr>
          <w:rFonts w:ascii="Arial" w:hAnsi="Arial" w:cs="Arial"/>
          <w:sz w:val="20"/>
          <w:szCs w:val="20"/>
        </w:rPr>
        <w:t xml:space="preserve"> Parliament </w:t>
      </w:r>
      <w:r w:rsidRPr="000A7654">
        <w:rPr>
          <w:rFonts w:ascii="Arial" w:hAnsi="Arial" w:cs="Arial"/>
          <w:sz w:val="20"/>
          <w:szCs w:val="20"/>
        </w:rPr>
        <w:t xml:space="preserve">did not exclude </w:t>
      </w:r>
      <w:r w:rsidR="00B26612" w:rsidRPr="000A7654">
        <w:rPr>
          <w:rFonts w:ascii="Arial" w:hAnsi="Arial" w:cs="Arial"/>
          <w:sz w:val="20"/>
          <w:szCs w:val="20"/>
        </w:rPr>
        <w:t xml:space="preserve">a </w:t>
      </w:r>
      <w:r w:rsidRPr="000A7654">
        <w:rPr>
          <w:rFonts w:ascii="Arial" w:hAnsi="Arial" w:cs="Arial"/>
          <w:sz w:val="20"/>
          <w:szCs w:val="20"/>
        </w:rPr>
        <w:t>common law response to damage caused by GHG</w:t>
      </w:r>
      <w:r w:rsidR="00097E55" w:rsidRPr="000A7654">
        <w:rPr>
          <w:rFonts w:ascii="Arial" w:hAnsi="Arial" w:cs="Arial"/>
          <w:sz w:val="20"/>
          <w:szCs w:val="20"/>
        </w:rPr>
        <w:t>s</w:t>
      </w:r>
      <w:r w:rsidRPr="000A7654">
        <w:rPr>
          <w:rFonts w:ascii="Arial" w:hAnsi="Arial" w:cs="Arial"/>
          <w:sz w:val="20"/>
          <w:szCs w:val="20"/>
        </w:rPr>
        <w:t xml:space="preserve"> by </w:t>
      </w:r>
      <w:r w:rsidR="003E778D" w:rsidRPr="000A7654">
        <w:rPr>
          <w:rFonts w:ascii="Arial" w:hAnsi="Arial" w:cs="Arial"/>
          <w:sz w:val="20"/>
          <w:szCs w:val="20"/>
        </w:rPr>
        <w:t>ensur</w:t>
      </w:r>
      <w:r w:rsidRPr="000A7654">
        <w:rPr>
          <w:rFonts w:ascii="Arial" w:hAnsi="Arial" w:cs="Arial"/>
          <w:sz w:val="20"/>
          <w:szCs w:val="20"/>
        </w:rPr>
        <w:t>ing</w:t>
      </w:r>
      <w:r w:rsidR="003E778D" w:rsidRPr="000A7654">
        <w:rPr>
          <w:rFonts w:ascii="Arial" w:hAnsi="Arial" w:cs="Arial"/>
          <w:sz w:val="20"/>
          <w:szCs w:val="20"/>
        </w:rPr>
        <w:t xml:space="preserve"> the RMA expressly preserved access to common law rights of action under s 23</w:t>
      </w:r>
      <w:r w:rsidR="00D55093">
        <w:rPr>
          <w:rFonts w:ascii="Arial" w:hAnsi="Arial" w:cs="Arial"/>
          <w:sz w:val="20"/>
          <w:szCs w:val="20"/>
        </w:rPr>
        <w:t>, which reads</w:t>
      </w:r>
      <w:r w:rsidR="003E778D" w:rsidRPr="000A7654">
        <w:rPr>
          <w:rFonts w:ascii="Arial" w:hAnsi="Arial" w:cs="Arial"/>
          <w:sz w:val="20"/>
          <w:szCs w:val="20"/>
        </w:rPr>
        <w:t xml:space="preserve">: </w:t>
      </w:r>
    </w:p>
    <w:p w14:paraId="1E29B2DD" w14:textId="632EC8BB" w:rsidR="003E778D" w:rsidRPr="000A7654" w:rsidRDefault="00861926" w:rsidP="000A7654">
      <w:pPr>
        <w:ind w:left="720" w:firstLine="720"/>
        <w:jc w:val="both"/>
        <w:rPr>
          <w:rFonts w:ascii="Arial" w:hAnsi="Arial" w:cs="Arial"/>
          <w:i/>
          <w:iCs/>
          <w:sz w:val="20"/>
          <w:szCs w:val="20"/>
        </w:rPr>
      </w:pPr>
      <w:r w:rsidRPr="000A7654">
        <w:rPr>
          <w:rFonts w:ascii="Arial" w:hAnsi="Arial" w:cs="Arial"/>
          <w:i/>
          <w:iCs/>
          <w:sz w:val="20"/>
          <w:szCs w:val="20"/>
        </w:rPr>
        <w:t>“</w:t>
      </w:r>
      <w:r w:rsidR="003E778D" w:rsidRPr="000A7654">
        <w:rPr>
          <w:rFonts w:ascii="Arial" w:hAnsi="Arial" w:cs="Arial"/>
          <w:i/>
          <w:iCs/>
          <w:sz w:val="20"/>
          <w:szCs w:val="20"/>
        </w:rPr>
        <w:t xml:space="preserve">Other Legal Requirements not </w:t>
      </w:r>
      <w:proofErr w:type="gramStart"/>
      <w:r w:rsidR="003E778D" w:rsidRPr="000A7654">
        <w:rPr>
          <w:rFonts w:ascii="Arial" w:hAnsi="Arial" w:cs="Arial"/>
          <w:i/>
          <w:iCs/>
          <w:sz w:val="20"/>
          <w:szCs w:val="20"/>
        </w:rPr>
        <w:t>affected</w:t>
      </w:r>
      <w:proofErr w:type="gramEnd"/>
      <w:r w:rsidR="003E778D" w:rsidRPr="000A7654">
        <w:rPr>
          <w:rFonts w:ascii="Arial" w:hAnsi="Arial" w:cs="Arial"/>
          <w:i/>
          <w:iCs/>
          <w:sz w:val="20"/>
          <w:szCs w:val="20"/>
        </w:rPr>
        <w:t xml:space="preserve"> </w:t>
      </w:r>
    </w:p>
    <w:p w14:paraId="0B32AA29" w14:textId="513FD691" w:rsidR="003E778D" w:rsidRPr="000A7654" w:rsidRDefault="003E778D" w:rsidP="000A7654">
      <w:pPr>
        <w:pStyle w:val="ListParagraph"/>
        <w:numPr>
          <w:ilvl w:val="0"/>
          <w:numId w:val="3"/>
        </w:numPr>
        <w:ind w:left="1800"/>
        <w:jc w:val="both"/>
        <w:rPr>
          <w:rFonts w:ascii="Arial" w:hAnsi="Arial" w:cs="Arial"/>
          <w:i/>
          <w:iCs/>
          <w:sz w:val="20"/>
          <w:szCs w:val="20"/>
        </w:rPr>
      </w:pPr>
      <w:r w:rsidRPr="000A7654">
        <w:rPr>
          <w:rFonts w:ascii="Arial" w:hAnsi="Arial" w:cs="Arial"/>
          <w:i/>
          <w:iCs/>
          <w:sz w:val="20"/>
          <w:szCs w:val="20"/>
        </w:rPr>
        <w:t>Compliance with this Act does not remove the need to comply with all other applicable legislation and other rules of law.</w:t>
      </w:r>
      <w:r w:rsidR="00861926" w:rsidRPr="000A7654">
        <w:rPr>
          <w:rFonts w:ascii="Arial" w:hAnsi="Arial" w:cs="Arial"/>
          <w:i/>
          <w:iCs/>
          <w:sz w:val="20"/>
          <w:szCs w:val="20"/>
        </w:rPr>
        <w:t>”</w:t>
      </w:r>
      <w:r w:rsidRPr="000A7654">
        <w:rPr>
          <w:rFonts w:ascii="Arial" w:hAnsi="Arial" w:cs="Arial"/>
          <w:i/>
          <w:iCs/>
          <w:sz w:val="20"/>
          <w:szCs w:val="20"/>
        </w:rPr>
        <w:t xml:space="preserve"> </w:t>
      </w:r>
    </w:p>
    <w:p w14:paraId="5BDA3160" w14:textId="14D78980" w:rsidR="003E778D" w:rsidRPr="000A7654" w:rsidRDefault="00097E55" w:rsidP="00097E55">
      <w:pPr>
        <w:ind w:left="720"/>
        <w:jc w:val="both"/>
        <w:rPr>
          <w:rFonts w:ascii="Arial" w:hAnsi="Arial" w:cs="Arial"/>
          <w:sz w:val="20"/>
          <w:szCs w:val="20"/>
        </w:rPr>
      </w:pPr>
      <w:r w:rsidRPr="000A7654">
        <w:rPr>
          <w:rFonts w:ascii="Arial" w:hAnsi="Arial" w:cs="Arial"/>
          <w:sz w:val="20"/>
          <w:szCs w:val="20"/>
        </w:rPr>
        <w:t>T</w:t>
      </w:r>
      <w:r w:rsidR="00B94037" w:rsidRPr="000A7654">
        <w:rPr>
          <w:rFonts w:ascii="Arial" w:hAnsi="Arial" w:cs="Arial"/>
          <w:sz w:val="20"/>
          <w:szCs w:val="20"/>
        </w:rPr>
        <w:t xml:space="preserve">he Court concluded </w:t>
      </w:r>
      <w:r w:rsidR="00E178A5" w:rsidRPr="000A7654">
        <w:rPr>
          <w:rFonts w:ascii="Arial" w:hAnsi="Arial" w:cs="Arial"/>
          <w:sz w:val="20"/>
          <w:szCs w:val="20"/>
        </w:rPr>
        <w:t>Parliament</w:t>
      </w:r>
      <w:r w:rsidR="00B94037" w:rsidRPr="000A7654">
        <w:rPr>
          <w:rFonts w:ascii="Arial" w:hAnsi="Arial" w:cs="Arial"/>
          <w:sz w:val="20"/>
          <w:szCs w:val="20"/>
        </w:rPr>
        <w:t xml:space="preserve"> had not displaced the law of torts in the realm of climate change in New Zealand but rather it had “…</w:t>
      </w:r>
      <w:r w:rsidR="00B94037" w:rsidRPr="000A7654">
        <w:rPr>
          <w:rFonts w:ascii="Arial" w:hAnsi="Arial" w:cs="Arial"/>
          <w:i/>
          <w:iCs/>
          <w:sz w:val="20"/>
          <w:szCs w:val="20"/>
        </w:rPr>
        <w:t>left a pathway open for the law to operate, develop and evolve amid a statutory landscape that does not displace the common law.”.</w:t>
      </w:r>
    </w:p>
    <w:p w14:paraId="49FFF634" w14:textId="4254EBAF" w:rsidR="00B97979" w:rsidRPr="000A7654" w:rsidRDefault="00D55093" w:rsidP="00097E55">
      <w:pPr>
        <w:pStyle w:val="ListParagraph"/>
        <w:numPr>
          <w:ilvl w:val="0"/>
          <w:numId w:val="5"/>
        </w:numPr>
        <w:rPr>
          <w:rFonts w:ascii="Arial" w:hAnsi="Arial" w:cs="Arial"/>
          <w:sz w:val="20"/>
          <w:szCs w:val="20"/>
        </w:rPr>
      </w:pPr>
      <w:r>
        <w:rPr>
          <w:rFonts w:ascii="Arial" w:hAnsi="Arial" w:cs="Arial"/>
          <w:sz w:val="20"/>
          <w:szCs w:val="20"/>
        </w:rPr>
        <w:t>The Court ordered that the matter</w:t>
      </w:r>
      <w:r w:rsidR="00F47449" w:rsidRPr="000A7654">
        <w:rPr>
          <w:rFonts w:ascii="Arial" w:hAnsi="Arial" w:cs="Arial"/>
          <w:sz w:val="20"/>
          <w:szCs w:val="20"/>
        </w:rPr>
        <w:t xml:space="preserve"> proceed </w:t>
      </w:r>
      <w:r>
        <w:rPr>
          <w:rFonts w:ascii="Arial" w:hAnsi="Arial" w:cs="Arial"/>
          <w:sz w:val="20"/>
          <w:szCs w:val="20"/>
        </w:rPr>
        <w:t xml:space="preserve">to trial </w:t>
      </w:r>
      <w:proofErr w:type="gramStart"/>
      <w:r>
        <w:rPr>
          <w:rFonts w:ascii="Arial" w:hAnsi="Arial" w:cs="Arial"/>
          <w:sz w:val="20"/>
          <w:szCs w:val="20"/>
        </w:rPr>
        <w:t xml:space="preserve">in order </w:t>
      </w:r>
      <w:r w:rsidR="00F47449" w:rsidRPr="000A7654">
        <w:rPr>
          <w:rFonts w:ascii="Arial" w:hAnsi="Arial" w:cs="Arial"/>
          <w:sz w:val="20"/>
          <w:szCs w:val="20"/>
        </w:rPr>
        <w:t>to</w:t>
      </w:r>
      <w:proofErr w:type="gramEnd"/>
      <w:r w:rsidR="00F47449" w:rsidRPr="000A7654">
        <w:rPr>
          <w:rFonts w:ascii="Arial" w:hAnsi="Arial" w:cs="Arial"/>
          <w:sz w:val="20"/>
          <w:szCs w:val="20"/>
        </w:rPr>
        <w:t xml:space="preserve"> determine whether the </w:t>
      </w:r>
      <w:r w:rsidR="00EC0CF7" w:rsidRPr="000A7654">
        <w:rPr>
          <w:rFonts w:ascii="Arial" w:hAnsi="Arial" w:cs="Arial"/>
          <w:sz w:val="20"/>
          <w:szCs w:val="20"/>
        </w:rPr>
        <w:t xml:space="preserve">Respondents' </w:t>
      </w:r>
      <w:r w:rsidR="00F47449" w:rsidRPr="000A7654">
        <w:rPr>
          <w:rFonts w:ascii="Arial" w:hAnsi="Arial" w:cs="Arial"/>
          <w:sz w:val="20"/>
          <w:szCs w:val="20"/>
        </w:rPr>
        <w:t>actions amount to substantial and unreasonable interference with public rights</w:t>
      </w:r>
      <w:r w:rsidR="00097E55" w:rsidRPr="000A7654">
        <w:rPr>
          <w:rFonts w:ascii="Arial" w:hAnsi="Arial" w:cs="Arial"/>
          <w:sz w:val="20"/>
          <w:szCs w:val="20"/>
        </w:rPr>
        <w:t xml:space="preserve">. </w:t>
      </w:r>
      <w:r w:rsidR="00C247DF" w:rsidRPr="000A7654">
        <w:rPr>
          <w:rFonts w:ascii="Arial" w:hAnsi="Arial" w:cs="Arial"/>
          <w:sz w:val="20"/>
          <w:szCs w:val="20"/>
        </w:rPr>
        <w:t>Interestingly, the Court</w:t>
      </w:r>
      <w:r w:rsidR="00660468" w:rsidRPr="000A7654">
        <w:rPr>
          <w:rFonts w:ascii="Arial" w:hAnsi="Arial" w:cs="Arial"/>
          <w:sz w:val="20"/>
          <w:szCs w:val="20"/>
        </w:rPr>
        <w:t xml:space="preserve"> dismissed the </w:t>
      </w:r>
      <w:r w:rsidR="00C247DF" w:rsidRPr="000A7654">
        <w:rPr>
          <w:rFonts w:ascii="Arial" w:hAnsi="Arial" w:cs="Arial"/>
          <w:sz w:val="20"/>
          <w:szCs w:val="20"/>
        </w:rPr>
        <w:t>Respondents</w:t>
      </w:r>
      <w:r w:rsidR="00EC0CF7" w:rsidRPr="000A7654">
        <w:rPr>
          <w:rFonts w:ascii="Arial" w:hAnsi="Arial" w:cs="Arial"/>
          <w:sz w:val="20"/>
          <w:szCs w:val="20"/>
        </w:rPr>
        <w:t>’</w:t>
      </w:r>
      <w:r w:rsidR="00C247DF" w:rsidRPr="000A7654">
        <w:rPr>
          <w:rFonts w:ascii="Arial" w:hAnsi="Arial" w:cs="Arial"/>
          <w:sz w:val="20"/>
          <w:szCs w:val="20"/>
        </w:rPr>
        <w:t xml:space="preserve"> </w:t>
      </w:r>
      <w:r w:rsidR="00660468" w:rsidRPr="000A7654">
        <w:rPr>
          <w:rFonts w:ascii="Arial" w:hAnsi="Arial" w:cs="Arial"/>
          <w:sz w:val="20"/>
          <w:szCs w:val="20"/>
        </w:rPr>
        <w:t>argument that it was not possible to directly attribute the harm claimed by Mr</w:t>
      </w:r>
      <w:r>
        <w:rPr>
          <w:rFonts w:ascii="Arial" w:hAnsi="Arial" w:cs="Arial"/>
          <w:sz w:val="20"/>
          <w:szCs w:val="20"/>
        </w:rPr>
        <w:t>.</w:t>
      </w:r>
      <w:r w:rsidR="00660468" w:rsidRPr="000A7654">
        <w:rPr>
          <w:rFonts w:ascii="Arial" w:hAnsi="Arial" w:cs="Arial"/>
          <w:sz w:val="20"/>
          <w:szCs w:val="20"/>
        </w:rPr>
        <w:t xml:space="preserve"> Smith to the </w:t>
      </w:r>
      <w:r w:rsidR="00C247DF" w:rsidRPr="000A7654">
        <w:rPr>
          <w:rFonts w:ascii="Arial" w:hAnsi="Arial" w:cs="Arial"/>
          <w:sz w:val="20"/>
          <w:szCs w:val="20"/>
        </w:rPr>
        <w:t>Respondent’s</w:t>
      </w:r>
      <w:r w:rsidR="00660468" w:rsidRPr="000A7654">
        <w:rPr>
          <w:rFonts w:ascii="Arial" w:hAnsi="Arial" w:cs="Arial"/>
          <w:sz w:val="20"/>
          <w:szCs w:val="20"/>
        </w:rPr>
        <w:t xml:space="preserve"> GHGs.</w:t>
      </w:r>
      <w:r w:rsidR="00791D92" w:rsidRPr="000A7654">
        <w:rPr>
          <w:rFonts w:ascii="Arial" w:hAnsi="Arial" w:cs="Arial"/>
          <w:sz w:val="20"/>
          <w:szCs w:val="20"/>
        </w:rPr>
        <w:br/>
      </w:r>
    </w:p>
    <w:p w14:paraId="339C1716" w14:textId="6C36749A" w:rsidR="00B97979" w:rsidRPr="000A7654" w:rsidRDefault="00660468" w:rsidP="00880DDE">
      <w:pPr>
        <w:pStyle w:val="ListParagraph"/>
        <w:numPr>
          <w:ilvl w:val="0"/>
          <w:numId w:val="5"/>
        </w:numPr>
        <w:rPr>
          <w:rFonts w:ascii="Arial" w:hAnsi="Arial" w:cs="Arial"/>
          <w:sz w:val="20"/>
          <w:szCs w:val="20"/>
        </w:rPr>
      </w:pPr>
      <w:r w:rsidRPr="000A7654">
        <w:rPr>
          <w:rFonts w:ascii="Arial" w:hAnsi="Arial" w:cs="Arial"/>
          <w:sz w:val="20"/>
          <w:szCs w:val="20"/>
        </w:rPr>
        <w:t>Lastly, the Court accepted that Mr</w:t>
      </w:r>
      <w:r w:rsidR="00D55093">
        <w:rPr>
          <w:rFonts w:ascii="Arial" w:hAnsi="Arial" w:cs="Arial"/>
          <w:sz w:val="20"/>
          <w:szCs w:val="20"/>
        </w:rPr>
        <w:t>.</w:t>
      </w:r>
      <w:r w:rsidRPr="000A7654">
        <w:rPr>
          <w:rFonts w:ascii="Arial" w:hAnsi="Arial" w:cs="Arial"/>
          <w:sz w:val="20"/>
          <w:szCs w:val="20"/>
        </w:rPr>
        <w:t xml:space="preserve"> Smith</w:t>
      </w:r>
      <w:r w:rsidR="00791D92" w:rsidRPr="000A7654">
        <w:rPr>
          <w:rFonts w:ascii="Arial" w:hAnsi="Arial" w:cs="Arial"/>
          <w:sz w:val="20"/>
          <w:szCs w:val="20"/>
        </w:rPr>
        <w:t xml:space="preserve"> had brought the claim as a kaitiaki (whose role is to look after the environment) acting on behalf of </w:t>
      </w:r>
      <w:proofErr w:type="spellStart"/>
      <w:r w:rsidR="00791D92" w:rsidRPr="000A7654">
        <w:rPr>
          <w:rFonts w:ascii="Arial" w:hAnsi="Arial" w:cs="Arial"/>
          <w:sz w:val="20"/>
          <w:szCs w:val="20"/>
        </w:rPr>
        <w:t>wai</w:t>
      </w:r>
      <w:proofErr w:type="spellEnd"/>
      <w:r w:rsidR="00791D92" w:rsidRPr="000A7654">
        <w:rPr>
          <w:rFonts w:ascii="Arial" w:hAnsi="Arial" w:cs="Arial"/>
          <w:sz w:val="20"/>
          <w:szCs w:val="20"/>
        </w:rPr>
        <w:t xml:space="preserve"> (</w:t>
      </w:r>
      <w:r w:rsidR="00EA2E7D" w:rsidRPr="000A7654">
        <w:rPr>
          <w:rFonts w:ascii="Arial" w:hAnsi="Arial" w:cs="Arial"/>
          <w:sz w:val="20"/>
          <w:szCs w:val="20"/>
        </w:rPr>
        <w:t>freshwater</w:t>
      </w:r>
      <w:r w:rsidR="00791D92" w:rsidRPr="000A7654">
        <w:rPr>
          <w:rFonts w:ascii="Arial" w:hAnsi="Arial" w:cs="Arial"/>
          <w:sz w:val="20"/>
          <w:szCs w:val="20"/>
        </w:rPr>
        <w:t xml:space="preserve">), whenua (land), and moana (sea). The Court acknowledged that the tikanga conceptions of loss (neither physical nor economic) could impact the special damage rule in public nuisance and potentially impact aspects of the tort claim. </w:t>
      </w:r>
    </w:p>
    <w:p w14:paraId="08213C83" w14:textId="238FFE55" w:rsidR="0074733A" w:rsidRPr="000A7654" w:rsidRDefault="0074733A">
      <w:pPr>
        <w:rPr>
          <w:rFonts w:ascii="Arial" w:hAnsi="Arial" w:cs="Arial"/>
          <w:b/>
          <w:bCs/>
          <w:sz w:val="20"/>
          <w:szCs w:val="20"/>
        </w:rPr>
      </w:pPr>
      <w:r w:rsidRPr="000A7654">
        <w:rPr>
          <w:rFonts w:ascii="Arial" w:hAnsi="Arial" w:cs="Arial"/>
          <w:b/>
          <w:bCs/>
          <w:sz w:val="20"/>
          <w:szCs w:val="20"/>
        </w:rPr>
        <w:t xml:space="preserve">Commentary </w:t>
      </w:r>
    </w:p>
    <w:p w14:paraId="223F764C" w14:textId="6DFD41CD" w:rsidR="00C247DF" w:rsidRPr="000A7654" w:rsidRDefault="00CF521B" w:rsidP="00C247DF">
      <w:pPr>
        <w:jc w:val="both"/>
        <w:rPr>
          <w:rFonts w:ascii="Arial" w:hAnsi="Arial" w:cs="Arial"/>
          <w:sz w:val="20"/>
          <w:szCs w:val="20"/>
        </w:rPr>
      </w:pPr>
      <w:r w:rsidRPr="000A7654">
        <w:rPr>
          <w:rFonts w:ascii="Arial" w:hAnsi="Arial" w:cs="Arial"/>
          <w:sz w:val="20"/>
          <w:szCs w:val="20"/>
        </w:rPr>
        <w:t xml:space="preserve">This decision from New Zealand’s highest court </w:t>
      </w:r>
      <w:r w:rsidR="0085746D">
        <w:rPr>
          <w:rFonts w:ascii="Arial" w:hAnsi="Arial" w:cs="Arial"/>
          <w:sz w:val="20"/>
          <w:szCs w:val="20"/>
        </w:rPr>
        <w:t xml:space="preserve">is </w:t>
      </w:r>
      <w:r w:rsidR="0085746D" w:rsidRPr="0026061E">
        <w:rPr>
          <w:rFonts w:ascii="Arial" w:hAnsi="Arial" w:cs="Arial"/>
          <w:sz w:val="20"/>
          <w:szCs w:val="20"/>
        </w:rPr>
        <w:t xml:space="preserve">significant </w:t>
      </w:r>
      <w:r w:rsidR="0085746D">
        <w:rPr>
          <w:rFonts w:ascii="Arial" w:hAnsi="Arial" w:cs="Arial"/>
          <w:sz w:val="20"/>
          <w:szCs w:val="20"/>
        </w:rPr>
        <w:t xml:space="preserve">as it opens the door for </w:t>
      </w:r>
      <w:r w:rsidR="00880DDE" w:rsidRPr="000A7654">
        <w:rPr>
          <w:rFonts w:ascii="Arial" w:hAnsi="Arial" w:cs="Arial"/>
          <w:sz w:val="20"/>
          <w:szCs w:val="20"/>
        </w:rPr>
        <w:t xml:space="preserve">common law </w:t>
      </w:r>
      <w:r w:rsidR="0085746D">
        <w:rPr>
          <w:rFonts w:ascii="Arial" w:hAnsi="Arial" w:cs="Arial"/>
          <w:sz w:val="20"/>
          <w:szCs w:val="20"/>
        </w:rPr>
        <w:t>tort claims against private sector GHG emitters to proceed to trial. The outcome of the upcoming trial and any further appeals will have significant implications for the prospects of future similar claims.</w:t>
      </w:r>
    </w:p>
    <w:p w14:paraId="704CD40F" w14:textId="27D249D7" w:rsidR="0074733A" w:rsidRPr="000A7654" w:rsidRDefault="00CF521B" w:rsidP="00C247DF">
      <w:pPr>
        <w:jc w:val="both"/>
        <w:rPr>
          <w:rFonts w:ascii="Arial" w:hAnsi="Arial" w:cs="Arial"/>
          <w:sz w:val="20"/>
          <w:szCs w:val="20"/>
        </w:rPr>
      </w:pPr>
      <w:r w:rsidRPr="000A7654">
        <w:rPr>
          <w:rFonts w:ascii="Arial" w:hAnsi="Arial" w:cs="Arial"/>
          <w:sz w:val="20"/>
          <w:szCs w:val="20"/>
        </w:rPr>
        <w:lastRenderedPageBreak/>
        <w:t>Whi</w:t>
      </w:r>
      <w:r w:rsidR="00D55093">
        <w:rPr>
          <w:rFonts w:ascii="Arial" w:hAnsi="Arial" w:cs="Arial"/>
          <w:sz w:val="20"/>
          <w:szCs w:val="20"/>
        </w:rPr>
        <w:t xml:space="preserve">le </w:t>
      </w:r>
      <w:r w:rsidRPr="000A7654">
        <w:rPr>
          <w:rFonts w:ascii="Arial" w:hAnsi="Arial" w:cs="Arial"/>
          <w:sz w:val="20"/>
          <w:szCs w:val="20"/>
        </w:rPr>
        <w:t xml:space="preserve">there </w:t>
      </w:r>
      <w:proofErr w:type="gramStart"/>
      <w:r w:rsidRPr="000A7654">
        <w:rPr>
          <w:rFonts w:ascii="Arial" w:hAnsi="Arial" w:cs="Arial"/>
          <w:sz w:val="20"/>
          <w:szCs w:val="20"/>
        </w:rPr>
        <w:t>remain</w:t>
      </w:r>
      <w:r w:rsidR="00880DDE" w:rsidRPr="000A7654">
        <w:rPr>
          <w:rFonts w:ascii="Arial" w:hAnsi="Arial" w:cs="Arial"/>
          <w:sz w:val="20"/>
          <w:szCs w:val="20"/>
        </w:rPr>
        <w:t>s</w:t>
      </w:r>
      <w:proofErr w:type="gramEnd"/>
      <w:r w:rsidRPr="000A7654">
        <w:rPr>
          <w:rFonts w:ascii="Arial" w:hAnsi="Arial" w:cs="Arial"/>
          <w:sz w:val="20"/>
          <w:szCs w:val="20"/>
        </w:rPr>
        <w:t xml:space="preserve"> </w:t>
      </w:r>
      <w:r w:rsidR="00322281" w:rsidRPr="000A7654">
        <w:rPr>
          <w:rFonts w:ascii="Arial" w:hAnsi="Arial" w:cs="Arial"/>
          <w:sz w:val="20"/>
          <w:szCs w:val="20"/>
        </w:rPr>
        <w:t>several</w:t>
      </w:r>
      <w:r w:rsidRPr="000A7654">
        <w:rPr>
          <w:rFonts w:ascii="Arial" w:hAnsi="Arial" w:cs="Arial"/>
          <w:sz w:val="20"/>
          <w:szCs w:val="20"/>
        </w:rPr>
        <w:t xml:space="preserve"> </w:t>
      </w:r>
      <w:r w:rsidR="00880DDE" w:rsidRPr="000A7654">
        <w:rPr>
          <w:rFonts w:ascii="Arial" w:hAnsi="Arial" w:cs="Arial"/>
          <w:sz w:val="20"/>
          <w:szCs w:val="20"/>
        </w:rPr>
        <w:t xml:space="preserve">unanswered </w:t>
      </w:r>
      <w:r w:rsidRPr="000A7654">
        <w:rPr>
          <w:rFonts w:ascii="Arial" w:hAnsi="Arial" w:cs="Arial"/>
          <w:sz w:val="20"/>
          <w:szCs w:val="20"/>
        </w:rPr>
        <w:t xml:space="preserve">questions </w:t>
      </w:r>
      <w:r w:rsidR="00880DDE" w:rsidRPr="000A7654">
        <w:rPr>
          <w:rFonts w:ascii="Arial" w:hAnsi="Arial" w:cs="Arial"/>
          <w:sz w:val="20"/>
          <w:szCs w:val="20"/>
        </w:rPr>
        <w:t>regarding</w:t>
      </w:r>
      <w:r w:rsidRPr="000A7654">
        <w:rPr>
          <w:rFonts w:ascii="Arial" w:hAnsi="Arial" w:cs="Arial"/>
          <w:sz w:val="20"/>
          <w:szCs w:val="20"/>
        </w:rPr>
        <w:t xml:space="preserve"> the scope of such claims, </w:t>
      </w:r>
      <w:r w:rsidR="005F53BD" w:rsidRPr="000A7654">
        <w:rPr>
          <w:rFonts w:ascii="Arial" w:hAnsi="Arial" w:cs="Arial"/>
          <w:sz w:val="20"/>
          <w:szCs w:val="20"/>
        </w:rPr>
        <w:t>Mr</w:t>
      </w:r>
      <w:r w:rsidR="00D55093">
        <w:rPr>
          <w:rFonts w:ascii="Arial" w:hAnsi="Arial" w:cs="Arial"/>
          <w:sz w:val="20"/>
          <w:szCs w:val="20"/>
        </w:rPr>
        <w:t>.</w:t>
      </w:r>
      <w:r w:rsidR="005F53BD" w:rsidRPr="000A7654">
        <w:rPr>
          <w:rFonts w:ascii="Arial" w:hAnsi="Arial" w:cs="Arial"/>
          <w:sz w:val="20"/>
          <w:szCs w:val="20"/>
        </w:rPr>
        <w:t xml:space="preserve"> Smith’s claim will now </w:t>
      </w:r>
      <w:proofErr w:type="gramStart"/>
      <w:r w:rsidR="005F53BD" w:rsidRPr="000A7654">
        <w:rPr>
          <w:rFonts w:ascii="Arial" w:hAnsi="Arial" w:cs="Arial"/>
          <w:sz w:val="20"/>
          <w:szCs w:val="20"/>
        </w:rPr>
        <w:t>return</w:t>
      </w:r>
      <w:proofErr w:type="gramEnd"/>
      <w:r w:rsidR="005F53BD" w:rsidRPr="000A7654">
        <w:rPr>
          <w:rFonts w:ascii="Arial" w:hAnsi="Arial" w:cs="Arial"/>
          <w:sz w:val="20"/>
          <w:szCs w:val="20"/>
        </w:rPr>
        <w:t xml:space="preserve"> to the High Court and proceed to trial where the Court will address these questions in the trial process. </w:t>
      </w:r>
    </w:p>
    <w:p w14:paraId="0382870C" w14:textId="0EF19C67" w:rsidR="00B5740C" w:rsidRPr="000A7654" w:rsidRDefault="00B5740C" w:rsidP="00B5740C">
      <w:pPr>
        <w:jc w:val="both"/>
        <w:rPr>
          <w:rFonts w:ascii="Arial" w:hAnsi="Arial" w:cs="Arial"/>
          <w:sz w:val="20"/>
          <w:szCs w:val="20"/>
        </w:rPr>
      </w:pPr>
      <w:r w:rsidRPr="000A7654">
        <w:rPr>
          <w:rFonts w:ascii="Arial" w:hAnsi="Arial" w:cs="Arial"/>
          <w:sz w:val="20"/>
          <w:szCs w:val="20"/>
        </w:rPr>
        <w:t>This summary was prepared by C</w:t>
      </w:r>
      <w:r w:rsidR="0048018B" w:rsidRPr="000A7654">
        <w:rPr>
          <w:rFonts w:ascii="Arial" w:hAnsi="Arial" w:cs="Arial"/>
          <w:sz w:val="20"/>
          <w:szCs w:val="20"/>
        </w:rPr>
        <w:t>lyde &amp; Co.</w:t>
      </w:r>
    </w:p>
    <w:p w14:paraId="47793EEC" w14:textId="77777777" w:rsidR="00B5740C" w:rsidRPr="000A7654" w:rsidRDefault="00B5740C" w:rsidP="00C247DF">
      <w:pPr>
        <w:jc w:val="both"/>
        <w:rPr>
          <w:rFonts w:ascii="Arial" w:hAnsi="Arial" w:cs="Arial"/>
          <w:sz w:val="20"/>
          <w:szCs w:val="20"/>
        </w:rPr>
      </w:pPr>
    </w:p>
    <w:sectPr w:rsidR="00B5740C" w:rsidRPr="000A765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1020" w14:textId="77777777" w:rsidR="00C11BCD" w:rsidRDefault="00C11BCD" w:rsidP="0074733A">
      <w:pPr>
        <w:spacing w:after="0" w:line="240" w:lineRule="auto"/>
      </w:pPr>
      <w:r>
        <w:separator/>
      </w:r>
    </w:p>
  </w:endnote>
  <w:endnote w:type="continuationSeparator" w:id="0">
    <w:p w14:paraId="3745BA2E" w14:textId="77777777" w:rsidR="00C11BCD" w:rsidRDefault="00C11BCD" w:rsidP="0074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9A81" w14:textId="77777777" w:rsidR="00C11BCD" w:rsidRDefault="00C11BCD" w:rsidP="0074733A">
      <w:pPr>
        <w:spacing w:after="0" w:line="240" w:lineRule="auto"/>
      </w:pPr>
      <w:r>
        <w:separator/>
      </w:r>
    </w:p>
  </w:footnote>
  <w:footnote w:type="continuationSeparator" w:id="0">
    <w:p w14:paraId="3E71CA6B" w14:textId="77777777" w:rsidR="00C11BCD" w:rsidRDefault="00C11BCD" w:rsidP="00747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938"/>
    <w:multiLevelType w:val="hybridMultilevel"/>
    <w:tmpl w:val="A4D2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181675"/>
    <w:multiLevelType w:val="hybridMultilevel"/>
    <w:tmpl w:val="23A85706"/>
    <w:lvl w:ilvl="0" w:tplc="AD02BF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7127AC5"/>
    <w:multiLevelType w:val="hybridMultilevel"/>
    <w:tmpl w:val="BCB881E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39251E"/>
    <w:multiLevelType w:val="hybridMultilevel"/>
    <w:tmpl w:val="71CC30AE"/>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7A97051"/>
    <w:multiLevelType w:val="hybridMultilevel"/>
    <w:tmpl w:val="D69846C4"/>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A445ADB"/>
    <w:multiLevelType w:val="hybridMultilevel"/>
    <w:tmpl w:val="8B9682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2976087">
    <w:abstractNumId w:val="3"/>
  </w:num>
  <w:num w:numId="2" w16cid:durableId="2112047051">
    <w:abstractNumId w:val="4"/>
  </w:num>
  <w:num w:numId="3" w16cid:durableId="813568339">
    <w:abstractNumId w:val="1"/>
  </w:num>
  <w:num w:numId="4" w16cid:durableId="1629778936">
    <w:abstractNumId w:val="2"/>
  </w:num>
  <w:num w:numId="5" w16cid:durableId="259339426">
    <w:abstractNumId w:val="5"/>
  </w:num>
  <w:num w:numId="6" w16cid:durableId="212109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E1"/>
    <w:rsid w:val="00097E55"/>
    <w:rsid w:val="000A7654"/>
    <w:rsid w:val="000C1DE9"/>
    <w:rsid w:val="00121BE2"/>
    <w:rsid w:val="00163E83"/>
    <w:rsid w:val="00167B1A"/>
    <w:rsid w:val="00251721"/>
    <w:rsid w:val="002548ED"/>
    <w:rsid w:val="00264EEF"/>
    <w:rsid w:val="00266230"/>
    <w:rsid w:val="00291CA6"/>
    <w:rsid w:val="002A5469"/>
    <w:rsid w:val="002C0E36"/>
    <w:rsid w:val="002D6679"/>
    <w:rsid w:val="00300053"/>
    <w:rsid w:val="00322281"/>
    <w:rsid w:val="003337E5"/>
    <w:rsid w:val="003554CD"/>
    <w:rsid w:val="0038344B"/>
    <w:rsid w:val="00385577"/>
    <w:rsid w:val="003D30C0"/>
    <w:rsid w:val="003E43B9"/>
    <w:rsid w:val="003E778D"/>
    <w:rsid w:val="004220BC"/>
    <w:rsid w:val="004313FB"/>
    <w:rsid w:val="004757C2"/>
    <w:rsid w:val="0048018B"/>
    <w:rsid w:val="0049310F"/>
    <w:rsid w:val="00495174"/>
    <w:rsid w:val="004A572E"/>
    <w:rsid w:val="004B5720"/>
    <w:rsid w:val="004D61AB"/>
    <w:rsid w:val="004D66C6"/>
    <w:rsid w:val="0051253E"/>
    <w:rsid w:val="0058736C"/>
    <w:rsid w:val="005A48D6"/>
    <w:rsid w:val="005D708A"/>
    <w:rsid w:val="005E0F74"/>
    <w:rsid w:val="005F3FF1"/>
    <w:rsid w:val="005F53BD"/>
    <w:rsid w:val="00603EB1"/>
    <w:rsid w:val="0062063F"/>
    <w:rsid w:val="00624223"/>
    <w:rsid w:val="006256E1"/>
    <w:rsid w:val="00660468"/>
    <w:rsid w:val="006A0E88"/>
    <w:rsid w:val="006A5B5F"/>
    <w:rsid w:val="006C22AD"/>
    <w:rsid w:val="006F4314"/>
    <w:rsid w:val="00743E75"/>
    <w:rsid w:val="0074733A"/>
    <w:rsid w:val="00775BAA"/>
    <w:rsid w:val="00784DAB"/>
    <w:rsid w:val="00791C98"/>
    <w:rsid w:val="00791D92"/>
    <w:rsid w:val="00796180"/>
    <w:rsid w:val="007A69CF"/>
    <w:rsid w:val="007E1165"/>
    <w:rsid w:val="007F0CBA"/>
    <w:rsid w:val="008203BC"/>
    <w:rsid w:val="0085746D"/>
    <w:rsid w:val="00861926"/>
    <w:rsid w:val="00870BAF"/>
    <w:rsid w:val="00873750"/>
    <w:rsid w:val="00880DDE"/>
    <w:rsid w:val="00883E57"/>
    <w:rsid w:val="008D2FFB"/>
    <w:rsid w:val="009521B3"/>
    <w:rsid w:val="009A48C5"/>
    <w:rsid w:val="009B2893"/>
    <w:rsid w:val="009B4D21"/>
    <w:rsid w:val="009E6808"/>
    <w:rsid w:val="00A1358B"/>
    <w:rsid w:val="00A74206"/>
    <w:rsid w:val="00A8191E"/>
    <w:rsid w:val="00A87EEE"/>
    <w:rsid w:val="00AA311A"/>
    <w:rsid w:val="00AD4A3B"/>
    <w:rsid w:val="00AE4359"/>
    <w:rsid w:val="00B03ADA"/>
    <w:rsid w:val="00B26612"/>
    <w:rsid w:val="00B5740C"/>
    <w:rsid w:val="00B90655"/>
    <w:rsid w:val="00B94037"/>
    <w:rsid w:val="00B97979"/>
    <w:rsid w:val="00BA00C5"/>
    <w:rsid w:val="00C11BCD"/>
    <w:rsid w:val="00C247DF"/>
    <w:rsid w:val="00C64B3B"/>
    <w:rsid w:val="00CD0A49"/>
    <w:rsid w:val="00CF521B"/>
    <w:rsid w:val="00D10F5A"/>
    <w:rsid w:val="00D24247"/>
    <w:rsid w:val="00D55093"/>
    <w:rsid w:val="00DA3C29"/>
    <w:rsid w:val="00DB29A3"/>
    <w:rsid w:val="00DD54D9"/>
    <w:rsid w:val="00E02706"/>
    <w:rsid w:val="00E178A5"/>
    <w:rsid w:val="00E22DA4"/>
    <w:rsid w:val="00E428C2"/>
    <w:rsid w:val="00E57143"/>
    <w:rsid w:val="00E77606"/>
    <w:rsid w:val="00E808F2"/>
    <w:rsid w:val="00E92318"/>
    <w:rsid w:val="00E96709"/>
    <w:rsid w:val="00EA2E7D"/>
    <w:rsid w:val="00EC0CF7"/>
    <w:rsid w:val="00EF2193"/>
    <w:rsid w:val="00EF3174"/>
    <w:rsid w:val="00F10BBC"/>
    <w:rsid w:val="00F37DFA"/>
    <w:rsid w:val="00F47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0C4E42"/>
  <w15:chartTrackingRefBased/>
  <w15:docId w15:val="{8058C269-69C5-41E8-88D0-746614AA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33A"/>
  </w:style>
  <w:style w:type="paragraph" w:styleId="Footer">
    <w:name w:val="footer"/>
    <w:basedOn w:val="Normal"/>
    <w:link w:val="FooterChar"/>
    <w:uiPriority w:val="99"/>
    <w:unhideWhenUsed/>
    <w:rsid w:val="00747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33A"/>
  </w:style>
  <w:style w:type="paragraph" w:styleId="ListParagraph">
    <w:name w:val="List Paragraph"/>
    <w:basedOn w:val="Normal"/>
    <w:uiPriority w:val="34"/>
    <w:qFormat/>
    <w:rsid w:val="002D6679"/>
    <w:pPr>
      <w:ind w:left="720"/>
      <w:contextualSpacing/>
    </w:pPr>
  </w:style>
  <w:style w:type="paragraph" w:styleId="Revision">
    <w:name w:val="Revision"/>
    <w:hidden/>
    <w:uiPriority w:val="99"/>
    <w:semiHidden/>
    <w:rsid w:val="00AD4A3B"/>
    <w:pPr>
      <w:spacing w:after="0" w:line="240" w:lineRule="auto"/>
    </w:pPr>
  </w:style>
  <w:style w:type="character" w:styleId="CommentReference">
    <w:name w:val="annotation reference"/>
    <w:basedOn w:val="DefaultParagraphFont"/>
    <w:uiPriority w:val="99"/>
    <w:semiHidden/>
    <w:unhideWhenUsed/>
    <w:rsid w:val="009B2893"/>
    <w:rPr>
      <w:sz w:val="16"/>
      <w:szCs w:val="16"/>
    </w:rPr>
  </w:style>
  <w:style w:type="paragraph" w:styleId="CommentText">
    <w:name w:val="annotation text"/>
    <w:basedOn w:val="Normal"/>
    <w:link w:val="CommentTextChar"/>
    <w:uiPriority w:val="99"/>
    <w:unhideWhenUsed/>
    <w:rsid w:val="009B2893"/>
    <w:pPr>
      <w:spacing w:line="240" w:lineRule="auto"/>
    </w:pPr>
    <w:rPr>
      <w:sz w:val="20"/>
      <w:szCs w:val="20"/>
    </w:rPr>
  </w:style>
  <w:style w:type="character" w:customStyle="1" w:styleId="CommentTextChar">
    <w:name w:val="Comment Text Char"/>
    <w:basedOn w:val="DefaultParagraphFont"/>
    <w:link w:val="CommentText"/>
    <w:uiPriority w:val="99"/>
    <w:rsid w:val="009B2893"/>
    <w:rPr>
      <w:sz w:val="20"/>
      <w:szCs w:val="20"/>
    </w:rPr>
  </w:style>
  <w:style w:type="paragraph" w:styleId="CommentSubject">
    <w:name w:val="annotation subject"/>
    <w:basedOn w:val="CommentText"/>
    <w:next w:val="CommentText"/>
    <w:link w:val="CommentSubjectChar"/>
    <w:uiPriority w:val="99"/>
    <w:semiHidden/>
    <w:unhideWhenUsed/>
    <w:rsid w:val="009B2893"/>
    <w:rPr>
      <w:b/>
      <w:bCs/>
    </w:rPr>
  </w:style>
  <w:style w:type="character" w:customStyle="1" w:styleId="CommentSubjectChar">
    <w:name w:val="Comment Subject Char"/>
    <w:basedOn w:val="CommentTextChar"/>
    <w:link w:val="CommentSubject"/>
    <w:uiPriority w:val="99"/>
    <w:semiHidden/>
    <w:rsid w:val="009B2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6bf62c-ccd3-4b55-92f9-8f5f8d6e04be" xsi:nil="true"/>
    <lcf76f155ced4ddcb4097134ff3c332f xmlns="26b76669-fdbb-4ccc-818f-e90e1a457559">
      <Terms xmlns="http://schemas.microsoft.com/office/infopath/2007/PartnerControls"/>
    </lcf76f155ced4ddcb4097134ff3c332f>
  </documentManagement>
</p:properties>
</file>

<file path=customXml/item2.xml>��< ? x m l   v e r s i o n = " 1 . 0 "   e n c o d i n g = " u t f - 1 6 " ? > < p r o p e r t i e s   x m l n s = " h t t p : / / w w w . i m a n a g e . c o m / w o r k / x m l s c h e m a " >  
     < d o c u m e n t i d > A U S T R A L I A ! 1 4 2 4 0 8 5 7 . 1 < / d o c u m e n t i d >  
     < s e n d e r i d > R E I L L Y A < / s e n d e r i d >  
     < s e n d e r e m a i l > A N N A R O S E . R E I L L Y @ C L Y D E C O . C O M < / s e n d e r e m a i l >  
     < l a s t m o d i f i e d > 2 0 2 4 - 0 2 - 1 4 T 1 0 : 2 1 : 0 0 . 0 0 0 0 0 0 0 + 0 8 : 0 0 < / l a s t m o d i f i e d >  
     < d a t a b a s e > A U S T R A L I A < / 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7AF4602A48A04AAAFE199399CC9407" ma:contentTypeVersion="18" ma:contentTypeDescription="Create a new document." ma:contentTypeScope="" ma:versionID="a11980e895d74af0e7a4b2889affb2ea">
  <xsd:schema xmlns:xsd="http://www.w3.org/2001/XMLSchema" xmlns:xs="http://www.w3.org/2001/XMLSchema" xmlns:p="http://schemas.microsoft.com/office/2006/metadata/properties" xmlns:ns2="26b76669-fdbb-4ccc-818f-e90e1a457559" xmlns:ns3="ce6bf62c-ccd3-4b55-92f9-8f5f8d6e04be" targetNamespace="http://schemas.microsoft.com/office/2006/metadata/properties" ma:root="true" ma:fieldsID="a65e44a08a569b75c42f746ce1a83203" ns2:_="" ns3:_="">
    <xsd:import namespace="26b76669-fdbb-4ccc-818f-e90e1a457559"/>
    <xsd:import namespace="ce6bf62c-ccd3-4b55-92f9-8f5f8d6e0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76669-fdbb-4ccc-818f-e90e1a457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89e0ee-ea48-43ba-9522-fe69fc9a2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bf62c-ccd3-4b55-92f9-8f5f8d6e04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170573-b0a2-4873-97ed-2ff1eee46b3b}" ma:internalName="TaxCatchAll" ma:showField="CatchAllData" ma:web="ce6bf62c-ccd3-4b55-92f9-8f5f8d6e0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63F53-9758-4729-A229-37962CC25A1B}">
  <ds:schemaRefs>
    <ds:schemaRef ds:uri="ce6bf62c-ccd3-4b55-92f9-8f5f8d6e04be"/>
    <ds:schemaRef ds:uri="http://schemas.microsoft.com/office/infopath/2007/PartnerControls"/>
    <ds:schemaRef ds:uri="26b76669-fdbb-4ccc-818f-e90e1a457559"/>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4FE8225-B776-44CF-AC53-4FCDAE4F18DE}">
  <ds:schemaRefs>
    <ds:schemaRef ds:uri="http://www.imanage.com/work/xmlschema"/>
  </ds:schemaRefs>
</ds:datastoreItem>
</file>

<file path=customXml/itemProps3.xml><?xml version="1.0" encoding="utf-8"?>
<ds:datastoreItem xmlns:ds="http://schemas.openxmlformats.org/officeDocument/2006/customXml" ds:itemID="{6EE35CE1-5DDF-4B4E-A5A5-6DB302CA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76669-fdbb-4ccc-818f-e90e1a457559"/>
    <ds:schemaRef ds:uri="ce6bf62c-ccd3-4b55-92f9-8f5f8d6e0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1CDD2-B090-4182-89C7-942478E66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5500</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Annarose</dc:creator>
  <cp:keywords/>
  <dc:description/>
  <cp:lastModifiedBy>Samantha Varghese</cp:lastModifiedBy>
  <cp:revision>2</cp:revision>
  <dcterms:created xsi:type="dcterms:W3CDTF">2024-04-11T07:09:00Z</dcterms:created>
  <dcterms:modified xsi:type="dcterms:W3CDTF">2024-04-11T07:09:00Z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0ff681bc-afdd-4b47-aa21-7bee6c868ceb</vt:lpwstr>
  </property>
  <property fmtid="{D5CDD505-2E9C-101B-9397-08002B2CF9AE}" pid="3" name="ContentTypeId">
    <vt:lpwstr>0x010100797AF4602A48A04AAAFE199399CC9407</vt:lpwstr>
  </property>
  <property fmtid="{D5CDD505-2E9C-101B-9397-08002B2CF9AE}" pid="4" name="MediaServiceImageTags">
    <vt:lpwstr/>
  </property>
</Properties>
</file>